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8AA3" w14:textId="77777777" w:rsidR="00054C7D" w:rsidRDefault="00054C7D" w:rsidP="00054C7D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REMIT JELENTÉSI SZOLGÁLTATÁS IGÉNYBEVÉTELÉRE VONATKOZÓ MEGÁLLAPODÁS</w:t>
      </w:r>
    </w:p>
    <w:p w14:paraId="14DD70D9" w14:textId="77777777" w:rsidR="00F04AE6" w:rsidRDefault="00F04AE6" w:rsidP="00054C7D">
      <w:pPr>
        <w:pStyle w:val="Default"/>
        <w:spacing w:before="82"/>
        <w:jc w:val="both"/>
        <w:rPr>
          <w:sz w:val="22"/>
          <w:szCs w:val="22"/>
        </w:rPr>
      </w:pPr>
    </w:p>
    <w:p w14:paraId="0E3F0250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továbbiakban “REMIT Jelentési Megállapodás” vagy „Megállapodás”, </w:t>
      </w:r>
    </w:p>
    <w:p w14:paraId="2248637F" w14:textId="77777777" w:rsidR="00054C7D" w:rsidRDefault="00054C7D" w:rsidP="00054C7D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>mely létrejött:</w:t>
      </w:r>
    </w:p>
    <w:p w14:paraId="532D2D04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Székhely: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8600 Siófok, Tanácsház u. 5. </w:t>
      </w:r>
    </w:p>
    <w:p w14:paraId="0724C939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8600 Siófok, Tanácsház u. 5 (Pf.:102.)</w:t>
      </w:r>
    </w:p>
    <w:p w14:paraId="29485039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Számlavezető pénzintézet: </w:t>
      </w:r>
      <w:r>
        <w:rPr>
          <w:sz w:val="22"/>
          <w:szCs w:val="22"/>
        </w:rPr>
        <w:tab/>
        <w:t>OTP Bank Nyrt.</w:t>
      </w:r>
    </w:p>
    <w:p w14:paraId="563A5D3E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SWIFT (BIC):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OTPVHUHB</w:t>
      </w:r>
    </w:p>
    <w:p w14:paraId="1817F8C1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IBAN számlaszám: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HU76 11794008-24014612-00000000</w:t>
      </w:r>
    </w:p>
    <w:p w14:paraId="6AAEC6CC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Számlázási cím: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8600 Siófok, Tanácsház u. 5.</w:t>
      </w:r>
    </w:p>
    <w:p w14:paraId="4E0D7346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Statisztikai számjel: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26138208-3523-113-14</w:t>
      </w:r>
    </w:p>
    <w:p w14:paraId="750C253C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Adószám: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26138208-2-14</w:t>
      </w:r>
    </w:p>
    <w:p w14:paraId="6DFD62B5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Cégbíróság: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Kaposvári Törvényszék Cégbírósága,</w:t>
      </w:r>
    </w:p>
    <w:p w14:paraId="2CC0B9F5" w14:textId="77777777" w:rsidR="00AB04CA" w:rsidRDefault="00AB04CA" w:rsidP="00AB04CA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Cégjegyzékszám: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14-09-316018 </w:t>
      </w:r>
    </w:p>
    <w:p w14:paraId="57343A74" w14:textId="77777777" w:rsidR="00054C7D" w:rsidRDefault="00054C7D" w:rsidP="00054C7D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>továbbiakban, mint “</w:t>
      </w:r>
      <w:r w:rsidR="00F04AE6">
        <w:rPr>
          <w:b/>
          <w:bCs/>
          <w:sz w:val="22"/>
          <w:szCs w:val="22"/>
        </w:rPr>
        <w:t>KP</w:t>
      </w:r>
      <w:r>
        <w:rPr>
          <w:sz w:val="22"/>
          <w:szCs w:val="22"/>
        </w:rPr>
        <w:t xml:space="preserve">” </w:t>
      </w:r>
    </w:p>
    <w:p w14:paraId="09B353AE" w14:textId="77777777" w:rsidR="00F04AE6" w:rsidRDefault="00F04AE6" w:rsidP="00054C7D">
      <w:pPr>
        <w:pStyle w:val="Default"/>
        <w:spacing w:before="73"/>
        <w:jc w:val="both"/>
        <w:rPr>
          <w:sz w:val="22"/>
          <w:szCs w:val="22"/>
        </w:rPr>
      </w:pPr>
    </w:p>
    <w:p w14:paraId="3F9DDE07" w14:textId="77777777" w:rsidR="00054C7D" w:rsidRDefault="00054C7D" w:rsidP="00054C7D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>és</w:t>
      </w:r>
    </w:p>
    <w:p w14:paraId="265B85A4" w14:textId="77777777" w:rsidR="00F04AE6" w:rsidRDefault="00F04AE6" w:rsidP="00054C7D">
      <w:pPr>
        <w:pStyle w:val="Default"/>
        <w:spacing w:before="73"/>
        <w:jc w:val="both"/>
        <w:rPr>
          <w:sz w:val="22"/>
          <w:szCs w:val="22"/>
        </w:rPr>
      </w:pPr>
    </w:p>
    <w:p w14:paraId="2022A8EA" w14:textId="77777777" w:rsidR="00054C7D" w:rsidRDefault="00054C7D" w:rsidP="00054C7D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Székhely: </w:t>
      </w:r>
    </w:p>
    <w:p w14:paraId="6CB6E5A8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cím: </w:t>
      </w:r>
    </w:p>
    <w:p w14:paraId="3F955744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Számlázási cím: </w:t>
      </w:r>
    </w:p>
    <w:p w14:paraId="5F41A1A5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Számlavezető pénzintézet: </w:t>
      </w:r>
    </w:p>
    <w:p w14:paraId="73E31DE4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>SWIFT (BIC):</w:t>
      </w:r>
    </w:p>
    <w:p w14:paraId="6AFEA3B2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IBAN számlaszám: </w:t>
      </w:r>
    </w:p>
    <w:p w14:paraId="45DAC4D9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Statisztikai számjel: </w:t>
      </w:r>
    </w:p>
    <w:p w14:paraId="74BE82EF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Adószám: </w:t>
      </w:r>
    </w:p>
    <w:p w14:paraId="4BB1FD50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>Cégbíróság:</w:t>
      </w:r>
    </w:p>
    <w:p w14:paraId="064FD4E3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>Cégjegyzékszám:</w:t>
      </w:r>
    </w:p>
    <w:p w14:paraId="3FA6AE61" w14:textId="77777777" w:rsidR="00054C7D" w:rsidRDefault="00054C7D" w:rsidP="00054C7D">
      <w:pPr>
        <w:pStyle w:val="Default"/>
        <w:spacing w:before="82"/>
        <w:jc w:val="both"/>
        <w:rPr>
          <w:sz w:val="22"/>
          <w:szCs w:val="22"/>
        </w:rPr>
      </w:pPr>
      <w:r>
        <w:rPr>
          <w:sz w:val="22"/>
          <w:szCs w:val="22"/>
        </w:rPr>
        <w:t>továbbiakban, mint “</w:t>
      </w:r>
      <w:r>
        <w:rPr>
          <w:b/>
          <w:bCs/>
          <w:sz w:val="22"/>
          <w:szCs w:val="22"/>
        </w:rPr>
        <w:t>Rendszerhasználó</w:t>
      </w:r>
      <w:r>
        <w:rPr>
          <w:sz w:val="22"/>
          <w:szCs w:val="22"/>
        </w:rPr>
        <w:t xml:space="preserve">”, </w:t>
      </w:r>
    </w:p>
    <w:p w14:paraId="787C95A1" w14:textId="77777777" w:rsidR="00054C7D" w:rsidRDefault="00054C7D" w:rsidP="00054C7D">
      <w:pPr>
        <w:pStyle w:val="Default"/>
        <w:spacing w:before="73"/>
        <w:jc w:val="both"/>
        <w:rPr>
          <w:sz w:val="22"/>
          <w:szCs w:val="22"/>
        </w:rPr>
      </w:pPr>
      <w:r>
        <w:rPr>
          <w:sz w:val="22"/>
          <w:szCs w:val="22"/>
        </w:rPr>
        <w:t>együttesen, mint “</w:t>
      </w:r>
      <w:r>
        <w:rPr>
          <w:b/>
          <w:bCs/>
          <w:sz w:val="22"/>
          <w:szCs w:val="22"/>
        </w:rPr>
        <w:t>Felek</w:t>
      </w:r>
      <w:r>
        <w:rPr>
          <w:sz w:val="22"/>
          <w:szCs w:val="22"/>
        </w:rPr>
        <w:t xml:space="preserve">” között. </w:t>
      </w:r>
    </w:p>
    <w:p w14:paraId="5E852BE3" w14:textId="1DD80521" w:rsidR="00054C7D" w:rsidRDefault="00054C7D" w:rsidP="00054C7D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Hivatkozással</w:t>
      </w:r>
    </w:p>
    <w:p w14:paraId="35F17A9B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0BF96FAB" w14:textId="3CBEAFE6" w:rsidR="00054C7D" w:rsidRPr="00F04AE6" w:rsidRDefault="00054C7D" w:rsidP="00054C7D">
      <w:pPr>
        <w:pStyle w:val="Default"/>
        <w:spacing w:before="73"/>
        <w:ind w:left="720"/>
        <w:jc w:val="both"/>
        <w:rPr>
          <w:color w:val="auto"/>
          <w:sz w:val="22"/>
          <w:szCs w:val="22"/>
        </w:rPr>
      </w:pPr>
      <w:r w:rsidRPr="00F04AE6">
        <w:rPr>
          <w:bCs/>
          <w:color w:val="auto"/>
          <w:sz w:val="22"/>
          <w:szCs w:val="22"/>
        </w:rPr>
        <w:t>a)</w:t>
      </w:r>
      <w:r w:rsidR="00F04AE6" w:rsidRPr="00F04AE6">
        <w:rPr>
          <w:bCs/>
          <w:color w:val="auto"/>
          <w:sz w:val="22"/>
          <w:szCs w:val="22"/>
        </w:rPr>
        <w:t xml:space="preserve"> </w:t>
      </w:r>
      <w:r w:rsidR="006844DA">
        <w:rPr>
          <w:bCs/>
          <w:color w:val="auto"/>
          <w:sz w:val="22"/>
          <w:szCs w:val="22"/>
        </w:rPr>
        <w:t>az</w:t>
      </w:r>
      <w:r w:rsidRPr="00F04AE6">
        <w:rPr>
          <w:bCs/>
          <w:color w:val="auto"/>
          <w:sz w:val="22"/>
          <w:szCs w:val="22"/>
        </w:rPr>
        <w:t xml:space="preserve"> EURÓPAI PARLAMENT ÉS A TANÁCS 1227/2011/EU RENDELET</w:t>
      </w:r>
      <w:r w:rsidR="006844DA">
        <w:rPr>
          <w:bCs/>
          <w:color w:val="auto"/>
          <w:sz w:val="22"/>
          <w:szCs w:val="22"/>
        </w:rPr>
        <w:t>ÉB</w:t>
      </w:r>
      <w:r w:rsidRPr="00F04AE6">
        <w:rPr>
          <w:bCs/>
          <w:color w:val="auto"/>
          <w:sz w:val="22"/>
          <w:szCs w:val="22"/>
        </w:rPr>
        <w:t>E</w:t>
      </w:r>
      <w:r w:rsidR="006844DA">
        <w:rPr>
          <w:bCs/>
          <w:color w:val="auto"/>
          <w:sz w:val="22"/>
          <w:szCs w:val="22"/>
        </w:rPr>
        <w:t>N</w:t>
      </w:r>
      <w:r w:rsidRPr="00F04AE6">
        <w:rPr>
          <w:bCs/>
          <w:color w:val="auto"/>
          <w:sz w:val="22"/>
          <w:szCs w:val="22"/>
        </w:rPr>
        <w:t xml:space="preserve"> (2011. október 25.) a nagykereskedelmi energiapiacok integritásáról és</w:t>
      </w:r>
      <w:r w:rsidR="00F04AE6" w:rsidRPr="00F04AE6">
        <w:rPr>
          <w:bCs/>
          <w:color w:val="auto"/>
          <w:sz w:val="22"/>
          <w:szCs w:val="22"/>
        </w:rPr>
        <w:t xml:space="preserve"> á</w:t>
      </w:r>
      <w:r w:rsidRPr="00F04AE6">
        <w:rPr>
          <w:bCs/>
          <w:color w:val="auto"/>
          <w:sz w:val="22"/>
          <w:szCs w:val="22"/>
        </w:rPr>
        <w:t xml:space="preserve">tláthatóságáról </w:t>
      </w:r>
      <w:r w:rsidR="006844DA">
        <w:rPr>
          <w:bCs/>
          <w:color w:val="auto"/>
          <w:sz w:val="22"/>
          <w:szCs w:val="22"/>
        </w:rPr>
        <w:t xml:space="preserve">(a </w:t>
      </w:r>
      <w:r w:rsidRPr="00F04AE6">
        <w:rPr>
          <w:color w:val="auto"/>
          <w:sz w:val="22"/>
          <w:szCs w:val="22"/>
        </w:rPr>
        <w:t xml:space="preserve">továbbiakban </w:t>
      </w:r>
      <w:r w:rsidRPr="00F04AE6">
        <w:rPr>
          <w:bCs/>
          <w:color w:val="auto"/>
          <w:sz w:val="22"/>
          <w:szCs w:val="22"/>
        </w:rPr>
        <w:t>REMIT Rendelet</w:t>
      </w:r>
      <w:r w:rsidR="006844DA">
        <w:rPr>
          <w:bCs/>
          <w:color w:val="auto"/>
          <w:sz w:val="22"/>
          <w:szCs w:val="22"/>
        </w:rPr>
        <w:t>)</w:t>
      </w:r>
      <w:r w:rsidR="006844DA">
        <w:rPr>
          <w:color w:val="auto"/>
          <w:sz w:val="22"/>
          <w:szCs w:val="22"/>
        </w:rPr>
        <w:t xml:space="preserve"> és</w:t>
      </w:r>
    </w:p>
    <w:p w14:paraId="7B3DA10D" w14:textId="0ACCAD69" w:rsidR="00054C7D" w:rsidRPr="00F04AE6" w:rsidRDefault="00054C7D" w:rsidP="00054C7D">
      <w:pPr>
        <w:pStyle w:val="Default"/>
        <w:spacing w:before="482"/>
        <w:ind w:left="720"/>
        <w:jc w:val="both"/>
        <w:rPr>
          <w:color w:val="auto"/>
          <w:sz w:val="22"/>
          <w:szCs w:val="22"/>
        </w:rPr>
      </w:pPr>
      <w:r w:rsidRPr="00F04AE6">
        <w:rPr>
          <w:bCs/>
          <w:color w:val="auto"/>
          <w:sz w:val="22"/>
          <w:szCs w:val="22"/>
        </w:rPr>
        <w:t xml:space="preserve">b) </w:t>
      </w:r>
      <w:r w:rsidR="006844DA">
        <w:rPr>
          <w:bCs/>
          <w:color w:val="auto"/>
          <w:sz w:val="22"/>
          <w:szCs w:val="22"/>
        </w:rPr>
        <w:t>a</w:t>
      </w:r>
      <w:r w:rsidRPr="00F04AE6">
        <w:rPr>
          <w:bCs/>
          <w:color w:val="auto"/>
          <w:sz w:val="22"/>
          <w:szCs w:val="22"/>
        </w:rPr>
        <w:t xml:space="preserve"> BIZOTTSÁG 1348/2014/EU VÉGREHAJTÁSI RENDELET</w:t>
      </w:r>
      <w:r w:rsidR="006844DA">
        <w:rPr>
          <w:bCs/>
          <w:color w:val="auto"/>
          <w:sz w:val="22"/>
          <w:szCs w:val="22"/>
        </w:rPr>
        <w:t>ÉB</w:t>
      </w:r>
      <w:r w:rsidRPr="00F04AE6">
        <w:rPr>
          <w:bCs/>
          <w:color w:val="auto"/>
          <w:sz w:val="22"/>
          <w:szCs w:val="22"/>
        </w:rPr>
        <w:t>E</w:t>
      </w:r>
      <w:r w:rsidR="006844DA">
        <w:rPr>
          <w:bCs/>
          <w:color w:val="auto"/>
          <w:sz w:val="22"/>
          <w:szCs w:val="22"/>
        </w:rPr>
        <w:t>N</w:t>
      </w:r>
      <w:r w:rsidRPr="00F04AE6">
        <w:rPr>
          <w:bCs/>
          <w:color w:val="auto"/>
          <w:sz w:val="22"/>
          <w:szCs w:val="22"/>
        </w:rPr>
        <w:t xml:space="preserve"> (2014. december 17.) a nagykereskedelmi energiapiacok integritásáról és átláthatóságáról szóló 1227/2011/EU európai parlamenti és tanácsi rendelet 8. cikke (2) és (6) bekezdésének végrehajtására irányuló adatszolgáltatásról </w:t>
      </w:r>
      <w:r w:rsidR="006844DA">
        <w:rPr>
          <w:bCs/>
          <w:color w:val="auto"/>
          <w:sz w:val="22"/>
          <w:szCs w:val="22"/>
        </w:rPr>
        <w:t xml:space="preserve">(a </w:t>
      </w:r>
      <w:r w:rsidRPr="00F04AE6">
        <w:rPr>
          <w:color w:val="auto"/>
          <w:sz w:val="22"/>
          <w:szCs w:val="22"/>
        </w:rPr>
        <w:t xml:space="preserve">továbbiakban </w:t>
      </w:r>
      <w:r w:rsidRPr="00F04AE6">
        <w:rPr>
          <w:bCs/>
          <w:color w:val="auto"/>
          <w:sz w:val="22"/>
          <w:szCs w:val="22"/>
        </w:rPr>
        <w:t xml:space="preserve">REMIT </w:t>
      </w:r>
      <w:proofErr w:type="spellStart"/>
      <w:r w:rsidRPr="00F04AE6">
        <w:rPr>
          <w:bCs/>
          <w:color w:val="auto"/>
          <w:sz w:val="22"/>
          <w:szCs w:val="22"/>
        </w:rPr>
        <w:t>Vhr</w:t>
      </w:r>
      <w:proofErr w:type="spellEnd"/>
      <w:r w:rsidR="006844DA">
        <w:rPr>
          <w:bCs/>
          <w:color w:val="auto"/>
          <w:sz w:val="22"/>
          <w:szCs w:val="22"/>
        </w:rPr>
        <w:t>)</w:t>
      </w:r>
      <w:r w:rsidR="006844DA">
        <w:rPr>
          <w:color w:val="auto"/>
          <w:sz w:val="22"/>
          <w:szCs w:val="22"/>
        </w:rPr>
        <w:t xml:space="preserve"> foglaltakra,</w:t>
      </w:r>
    </w:p>
    <w:p w14:paraId="065856D4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0607B419" w14:textId="69254F83" w:rsidR="00054C7D" w:rsidRDefault="00054C7D" w:rsidP="00F04AE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Felek az alábbiakban állapod</w:t>
      </w:r>
      <w:r w:rsidR="006844DA">
        <w:rPr>
          <w:color w:val="auto"/>
          <w:sz w:val="22"/>
          <w:szCs w:val="22"/>
        </w:rPr>
        <w:t>n</w:t>
      </w:r>
      <w:r>
        <w:rPr>
          <w:color w:val="auto"/>
          <w:sz w:val="22"/>
          <w:szCs w:val="22"/>
        </w:rPr>
        <w:t>ak meg:</w:t>
      </w:r>
    </w:p>
    <w:p w14:paraId="7094D595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44D23429" w14:textId="77777777" w:rsidR="00B7526B" w:rsidRDefault="00B7526B" w:rsidP="00054C7D">
      <w:pPr>
        <w:pStyle w:val="Default"/>
        <w:rPr>
          <w:color w:val="auto"/>
          <w:sz w:val="22"/>
          <w:szCs w:val="22"/>
        </w:rPr>
      </w:pPr>
    </w:p>
    <w:p w14:paraId="18D29F4E" w14:textId="77777777" w:rsidR="00054C7D" w:rsidRPr="00BD0DE1" w:rsidRDefault="00054C7D" w:rsidP="00F04AE6">
      <w:pPr>
        <w:pStyle w:val="Default"/>
        <w:numPr>
          <w:ilvl w:val="0"/>
          <w:numId w:val="15"/>
        </w:numPr>
        <w:spacing w:before="73"/>
        <w:jc w:val="both"/>
        <w:rPr>
          <w:b/>
          <w:color w:val="auto"/>
          <w:sz w:val="22"/>
          <w:szCs w:val="22"/>
        </w:rPr>
      </w:pPr>
      <w:r w:rsidRPr="00BD0DE1">
        <w:rPr>
          <w:b/>
          <w:bCs/>
          <w:color w:val="auto"/>
          <w:sz w:val="22"/>
          <w:szCs w:val="22"/>
        </w:rPr>
        <w:t>A REMIT Jelentési Megállapodás tárgya</w:t>
      </w:r>
    </w:p>
    <w:p w14:paraId="633635A5" w14:textId="77777777" w:rsidR="0038085D" w:rsidRDefault="0038085D" w:rsidP="0038085D">
      <w:pPr>
        <w:pStyle w:val="Default"/>
        <w:ind w:left="1418"/>
        <w:jc w:val="both"/>
        <w:rPr>
          <w:color w:val="auto"/>
          <w:sz w:val="22"/>
          <w:szCs w:val="22"/>
        </w:rPr>
      </w:pPr>
    </w:p>
    <w:p w14:paraId="31B4F1A1" w14:textId="3EFCD0AC" w:rsidR="00054C7D" w:rsidRDefault="0038085D" w:rsidP="0038085D">
      <w:pPr>
        <w:pStyle w:val="Default"/>
        <w:numPr>
          <w:ilvl w:val="1"/>
          <w:numId w:val="15"/>
        </w:numPr>
        <w:spacing w:before="73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Jelen Megállapodás </w:t>
      </w:r>
      <w:r w:rsidR="006844DA">
        <w:rPr>
          <w:color w:val="auto"/>
          <w:sz w:val="22"/>
          <w:szCs w:val="22"/>
        </w:rPr>
        <w:t>alapján</w:t>
      </w:r>
      <w:r>
        <w:rPr>
          <w:color w:val="auto"/>
          <w:sz w:val="22"/>
          <w:szCs w:val="22"/>
        </w:rPr>
        <w:t xml:space="preserve"> a KP </w:t>
      </w:r>
      <w:r w:rsidR="006844DA">
        <w:rPr>
          <w:color w:val="auto"/>
          <w:sz w:val="22"/>
          <w:szCs w:val="22"/>
        </w:rPr>
        <w:t xml:space="preserve">a Rendszerhasználó megbízásából teljesíti </w:t>
      </w:r>
      <w:r w:rsidR="005A6112">
        <w:rPr>
          <w:color w:val="auto"/>
          <w:sz w:val="22"/>
          <w:szCs w:val="22"/>
        </w:rPr>
        <w:t xml:space="preserve">az ACER </w:t>
      </w:r>
      <w:r w:rsidR="007109D7">
        <w:rPr>
          <w:color w:val="auto"/>
          <w:sz w:val="22"/>
          <w:szCs w:val="22"/>
        </w:rPr>
        <w:t xml:space="preserve">(Energiaszabályozók Együttműködési Ügynöksége / Energiapiaci Ügynökség) </w:t>
      </w:r>
      <w:r w:rsidR="005A6112">
        <w:rPr>
          <w:color w:val="auto"/>
          <w:sz w:val="22"/>
          <w:szCs w:val="22"/>
        </w:rPr>
        <w:t xml:space="preserve">felé </w:t>
      </w:r>
      <w:r>
        <w:rPr>
          <w:color w:val="auto"/>
          <w:sz w:val="22"/>
          <w:szCs w:val="22"/>
        </w:rPr>
        <w:t xml:space="preserve">a Rendszerhasználó </w:t>
      </w:r>
      <w:r w:rsidR="00455D91">
        <w:rPr>
          <w:color w:val="auto"/>
          <w:sz w:val="22"/>
          <w:szCs w:val="22"/>
        </w:rPr>
        <w:t>Kereskedési Platformon</w:t>
      </w:r>
      <w:r>
        <w:rPr>
          <w:color w:val="auto"/>
          <w:sz w:val="22"/>
          <w:szCs w:val="22"/>
        </w:rPr>
        <w:t xml:space="preserve"> létrejött ügyletei</w:t>
      </w:r>
      <w:r w:rsidR="006844DA">
        <w:rPr>
          <w:color w:val="auto"/>
          <w:sz w:val="22"/>
          <w:szCs w:val="22"/>
        </w:rPr>
        <w:t>re vonatkozóan a REMIT Rendeletben és a REMIT Vhr.-ben előírt adatbejelentést</w:t>
      </w:r>
      <w:r w:rsidR="005A6112">
        <w:rPr>
          <w:color w:val="auto"/>
          <w:sz w:val="22"/>
          <w:szCs w:val="22"/>
        </w:rPr>
        <w:t xml:space="preserve"> (jelentési szolgáltatás)</w:t>
      </w:r>
      <w:r w:rsidR="006844DA">
        <w:rPr>
          <w:color w:val="auto"/>
          <w:sz w:val="22"/>
          <w:szCs w:val="22"/>
        </w:rPr>
        <w:t xml:space="preserve">, a jelen Megállapodás 3. pontjában meghatározott </w:t>
      </w:r>
      <w:r w:rsidR="005A6112">
        <w:rPr>
          <w:color w:val="auto"/>
          <w:sz w:val="22"/>
          <w:szCs w:val="22"/>
        </w:rPr>
        <w:t>átalánydíj ellenében.</w:t>
      </w:r>
    </w:p>
    <w:p w14:paraId="05A67C8B" w14:textId="77777777" w:rsidR="00054C7D" w:rsidRDefault="00054C7D" w:rsidP="00F04AE6">
      <w:pPr>
        <w:pStyle w:val="Default"/>
        <w:jc w:val="both"/>
        <w:rPr>
          <w:color w:val="auto"/>
          <w:sz w:val="22"/>
          <w:szCs w:val="22"/>
        </w:rPr>
      </w:pPr>
    </w:p>
    <w:p w14:paraId="4F27F53E" w14:textId="77777777" w:rsidR="00B7526B" w:rsidRDefault="00B7526B" w:rsidP="00F04AE6">
      <w:pPr>
        <w:pStyle w:val="Default"/>
        <w:jc w:val="both"/>
        <w:rPr>
          <w:color w:val="auto"/>
          <w:sz w:val="22"/>
          <w:szCs w:val="22"/>
        </w:rPr>
      </w:pPr>
    </w:p>
    <w:p w14:paraId="5F0485CF" w14:textId="77777777" w:rsidR="00054C7D" w:rsidRPr="00BD0DE1" w:rsidRDefault="00054C7D" w:rsidP="00BD0DE1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 szolgáltatás leírása </w:t>
      </w:r>
    </w:p>
    <w:p w14:paraId="4B8E4192" w14:textId="77777777" w:rsidR="00054C7D" w:rsidRDefault="00054C7D" w:rsidP="00041A39">
      <w:pPr>
        <w:pStyle w:val="Default"/>
        <w:numPr>
          <w:ilvl w:val="1"/>
          <w:numId w:val="15"/>
        </w:numPr>
        <w:spacing w:before="73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jelentési szolgáltatás alapja a REMIT Vhr. 3. cikk, </w:t>
      </w:r>
      <w:r w:rsidR="008B19BF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1</w:t>
      </w:r>
      <w:r w:rsidR="008B19BF">
        <w:rPr>
          <w:color w:val="auto"/>
          <w:sz w:val="22"/>
          <w:szCs w:val="22"/>
        </w:rPr>
        <w:t>),</w:t>
      </w:r>
      <w:r>
        <w:rPr>
          <w:color w:val="auto"/>
          <w:sz w:val="22"/>
          <w:szCs w:val="22"/>
        </w:rPr>
        <w:t xml:space="preserve"> </w:t>
      </w:r>
      <w:r w:rsidR="008B19BF">
        <w:rPr>
          <w:color w:val="auto"/>
          <w:sz w:val="22"/>
          <w:szCs w:val="22"/>
        </w:rPr>
        <w:t>6. cikk, (1) pontjaiban</w:t>
      </w:r>
      <w:r>
        <w:rPr>
          <w:color w:val="auto"/>
          <w:sz w:val="22"/>
          <w:szCs w:val="22"/>
        </w:rPr>
        <w:t xml:space="preserve"> meghatározott követelmények, valamint a REMIT Vhr. adatigényt részletező mellékletének </w:t>
      </w:r>
      <w:r w:rsidR="008B19BF">
        <w:rPr>
          <w:color w:val="auto"/>
          <w:sz w:val="22"/>
          <w:szCs w:val="22"/>
        </w:rPr>
        <w:t xml:space="preserve">1. és </w:t>
      </w:r>
      <w:r>
        <w:rPr>
          <w:color w:val="auto"/>
          <w:sz w:val="22"/>
          <w:szCs w:val="22"/>
        </w:rPr>
        <w:t>4. Táblázata.</w:t>
      </w:r>
    </w:p>
    <w:p w14:paraId="2B76630B" w14:textId="77777777" w:rsidR="00054C7D" w:rsidRDefault="00054C7D" w:rsidP="00041A39">
      <w:pPr>
        <w:pStyle w:val="Default"/>
        <w:rPr>
          <w:color w:val="auto"/>
          <w:sz w:val="22"/>
          <w:szCs w:val="22"/>
        </w:rPr>
      </w:pPr>
    </w:p>
    <w:p w14:paraId="77C27123" w14:textId="77777777" w:rsidR="00054C7D" w:rsidRPr="00041A39" w:rsidRDefault="00054C7D" w:rsidP="00041A39">
      <w:pPr>
        <w:pStyle w:val="Default"/>
        <w:numPr>
          <w:ilvl w:val="1"/>
          <w:numId w:val="15"/>
        </w:numPr>
        <w:ind w:left="709"/>
        <w:jc w:val="both"/>
        <w:rPr>
          <w:color w:val="auto"/>
          <w:sz w:val="22"/>
          <w:szCs w:val="22"/>
        </w:rPr>
      </w:pPr>
      <w:r w:rsidRPr="00041A39">
        <w:rPr>
          <w:color w:val="auto"/>
          <w:sz w:val="22"/>
          <w:szCs w:val="22"/>
        </w:rPr>
        <w:t>A</w:t>
      </w:r>
      <w:r w:rsidR="00041A39" w:rsidRPr="00041A39">
        <w:rPr>
          <w:color w:val="auto"/>
          <w:sz w:val="22"/>
          <w:szCs w:val="22"/>
        </w:rPr>
        <w:t xml:space="preserve"> KP</w:t>
      </w:r>
      <w:r w:rsidRPr="00041A39">
        <w:rPr>
          <w:color w:val="auto"/>
          <w:sz w:val="22"/>
          <w:szCs w:val="22"/>
        </w:rPr>
        <w:t xml:space="preserve"> a Rendszerhasználó részére biztosítja, hogy a </w:t>
      </w:r>
      <w:r w:rsidR="00041A39">
        <w:rPr>
          <w:color w:val="auto"/>
          <w:sz w:val="22"/>
          <w:szCs w:val="22"/>
        </w:rPr>
        <w:t xml:space="preserve">Kereskedési Platformon létrejött szerződések, illetve beadott ajánlatok adataiból a </w:t>
      </w:r>
      <w:r w:rsidRPr="00041A39">
        <w:rPr>
          <w:color w:val="auto"/>
          <w:sz w:val="22"/>
          <w:szCs w:val="22"/>
        </w:rPr>
        <w:t>REMIT jelentésnek megfelelő</w:t>
      </w:r>
      <w:r w:rsidR="00041A39">
        <w:rPr>
          <w:color w:val="auto"/>
          <w:sz w:val="22"/>
          <w:szCs w:val="22"/>
        </w:rPr>
        <w:t>, ACER által előírt</w:t>
      </w:r>
      <w:r w:rsidRPr="00041A39">
        <w:rPr>
          <w:color w:val="auto"/>
          <w:sz w:val="22"/>
          <w:szCs w:val="22"/>
        </w:rPr>
        <w:t xml:space="preserve"> formátumú XML fájl kerüljön előállításra</w:t>
      </w:r>
      <w:r w:rsidR="00041A39">
        <w:rPr>
          <w:color w:val="auto"/>
          <w:sz w:val="22"/>
          <w:szCs w:val="22"/>
        </w:rPr>
        <w:t>.</w:t>
      </w:r>
    </w:p>
    <w:p w14:paraId="797B4B3D" w14:textId="77777777" w:rsidR="00041A39" w:rsidRDefault="00041A39" w:rsidP="00041A39">
      <w:pPr>
        <w:pStyle w:val="Default"/>
        <w:rPr>
          <w:color w:val="auto"/>
          <w:sz w:val="22"/>
          <w:szCs w:val="22"/>
        </w:rPr>
      </w:pPr>
    </w:p>
    <w:p w14:paraId="0A02695C" w14:textId="615763D7" w:rsidR="00054C7D" w:rsidRPr="00441858" w:rsidRDefault="00943294" w:rsidP="00F022B8">
      <w:pPr>
        <w:pStyle w:val="Default"/>
        <w:numPr>
          <w:ilvl w:val="1"/>
          <w:numId w:val="15"/>
        </w:numPr>
        <w:spacing w:before="73"/>
        <w:ind w:left="709"/>
        <w:jc w:val="both"/>
        <w:rPr>
          <w:color w:val="auto"/>
          <w:sz w:val="22"/>
          <w:szCs w:val="22"/>
        </w:rPr>
      </w:pPr>
      <w:r w:rsidRPr="00943294">
        <w:rPr>
          <w:color w:val="auto"/>
          <w:sz w:val="22"/>
          <w:szCs w:val="22"/>
        </w:rPr>
        <w:t>A KP a jelentési szolgáltatást a KELER Zrt.-vel e tárgyban megkötött szerződése („Egyedi szerződés a REMIT 8. cikke szerinti adatok Energiapiaci Ügynökség felé történő továbbítására</w:t>
      </w:r>
      <w:r w:rsidRPr="00843A3C">
        <w:rPr>
          <w:color w:val="auto"/>
          <w:sz w:val="22"/>
          <w:szCs w:val="22"/>
        </w:rPr>
        <w:t xml:space="preserve">”) útján teljesíti. Ennek keretében </w:t>
      </w:r>
      <w:r>
        <w:rPr>
          <w:color w:val="auto"/>
          <w:sz w:val="22"/>
          <w:szCs w:val="22"/>
        </w:rPr>
        <w:t>a</w:t>
      </w:r>
      <w:r w:rsidR="00041A39" w:rsidRPr="00943294">
        <w:rPr>
          <w:color w:val="auto"/>
          <w:sz w:val="22"/>
          <w:szCs w:val="22"/>
        </w:rPr>
        <w:t xml:space="preserve">z ACER által meghatározott </w:t>
      </w:r>
      <w:r w:rsidR="00054C7D" w:rsidRPr="00943294">
        <w:rPr>
          <w:color w:val="auto"/>
          <w:sz w:val="22"/>
          <w:szCs w:val="22"/>
        </w:rPr>
        <w:t xml:space="preserve">titkosítását követően </w:t>
      </w:r>
      <w:r w:rsidR="00041A39" w:rsidRPr="00943294">
        <w:rPr>
          <w:color w:val="auto"/>
          <w:sz w:val="22"/>
          <w:szCs w:val="22"/>
        </w:rPr>
        <w:t xml:space="preserve">a REMIT jelentést tartalmazó </w:t>
      </w:r>
      <w:r w:rsidR="00341046" w:rsidRPr="00943294">
        <w:rPr>
          <w:color w:val="auto"/>
          <w:sz w:val="22"/>
          <w:szCs w:val="22"/>
        </w:rPr>
        <w:t xml:space="preserve">XML fájlt a </w:t>
      </w:r>
      <w:r w:rsidR="00053CC3" w:rsidRPr="00943294">
        <w:rPr>
          <w:color w:val="auto"/>
          <w:sz w:val="22"/>
          <w:szCs w:val="22"/>
        </w:rPr>
        <w:t xml:space="preserve">KP </w:t>
      </w:r>
      <w:r w:rsidR="00053CC3" w:rsidRPr="00843A3C">
        <w:rPr>
          <w:color w:val="auto"/>
          <w:sz w:val="22"/>
          <w:szCs w:val="22"/>
        </w:rPr>
        <w:t xml:space="preserve">megbízásából a </w:t>
      </w:r>
      <w:r w:rsidR="00341046" w:rsidRPr="00843A3C">
        <w:rPr>
          <w:color w:val="auto"/>
          <w:sz w:val="22"/>
          <w:szCs w:val="22"/>
        </w:rPr>
        <w:t>KELER Zrt., mint a KP-n kötött ügylettípusoknak az ACER felé történő bejelentésére jogosultsággal rendelkező RRM (</w:t>
      </w:r>
      <w:proofErr w:type="spellStart"/>
      <w:r w:rsidR="00341046" w:rsidRPr="00843A3C">
        <w:rPr>
          <w:color w:val="auto"/>
          <w:sz w:val="22"/>
          <w:szCs w:val="22"/>
        </w:rPr>
        <w:t>Registered</w:t>
      </w:r>
      <w:proofErr w:type="spellEnd"/>
      <w:r w:rsidR="00341046" w:rsidRPr="00843A3C">
        <w:rPr>
          <w:color w:val="auto"/>
          <w:sz w:val="22"/>
          <w:szCs w:val="22"/>
        </w:rPr>
        <w:t xml:space="preserve"> </w:t>
      </w:r>
      <w:proofErr w:type="spellStart"/>
      <w:r w:rsidR="00341046" w:rsidRPr="00843A3C">
        <w:rPr>
          <w:color w:val="auto"/>
          <w:sz w:val="22"/>
          <w:szCs w:val="22"/>
        </w:rPr>
        <w:t>Reporting</w:t>
      </w:r>
      <w:proofErr w:type="spellEnd"/>
      <w:r w:rsidR="00341046" w:rsidRPr="00843A3C">
        <w:rPr>
          <w:color w:val="auto"/>
          <w:sz w:val="22"/>
          <w:szCs w:val="22"/>
        </w:rPr>
        <w:t xml:space="preserve"> </w:t>
      </w:r>
      <w:proofErr w:type="spellStart"/>
      <w:r w:rsidR="00341046" w:rsidRPr="00843A3C">
        <w:rPr>
          <w:color w:val="auto"/>
          <w:sz w:val="22"/>
          <w:szCs w:val="22"/>
        </w:rPr>
        <w:t>Mechanism</w:t>
      </w:r>
      <w:proofErr w:type="spellEnd"/>
      <w:r w:rsidR="00341046" w:rsidRPr="00843A3C">
        <w:rPr>
          <w:color w:val="auto"/>
          <w:sz w:val="22"/>
          <w:szCs w:val="22"/>
        </w:rPr>
        <w:t>)</w:t>
      </w:r>
      <w:r w:rsidR="00053CC3" w:rsidRPr="00C06783">
        <w:rPr>
          <w:color w:val="auto"/>
          <w:sz w:val="22"/>
          <w:szCs w:val="22"/>
        </w:rPr>
        <w:t>,</w:t>
      </w:r>
      <w:r w:rsidR="00341046" w:rsidRPr="00C06783">
        <w:rPr>
          <w:color w:val="auto"/>
          <w:sz w:val="22"/>
          <w:szCs w:val="22"/>
        </w:rPr>
        <w:t xml:space="preserve"> továbbítja az ACER-</w:t>
      </w:r>
      <w:proofErr w:type="spellStart"/>
      <w:r w:rsidR="00341046" w:rsidRPr="00C06783">
        <w:rPr>
          <w:color w:val="auto"/>
          <w:sz w:val="22"/>
          <w:szCs w:val="22"/>
        </w:rPr>
        <w:t>nek</w:t>
      </w:r>
      <w:proofErr w:type="spellEnd"/>
      <w:r w:rsidR="00341046" w:rsidRPr="00C06783">
        <w:rPr>
          <w:color w:val="auto"/>
          <w:sz w:val="22"/>
          <w:szCs w:val="22"/>
        </w:rPr>
        <w:t xml:space="preserve"> az ARIS informatikai rendszerébe</w:t>
      </w:r>
      <w:r w:rsidR="00441858">
        <w:rPr>
          <w:color w:val="auto"/>
          <w:sz w:val="22"/>
          <w:szCs w:val="22"/>
        </w:rPr>
        <w:t>. Ennek során biztosítja, hogy</w:t>
      </w:r>
    </w:p>
    <w:p w14:paraId="1990AE30" w14:textId="709E0A71" w:rsidR="00054C7D" w:rsidRDefault="001634FE" w:rsidP="00341046">
      <w:pPr>
        <w:pStyle w:val="Default"/>
        <w:spacing w:before="120"/>
        <w:ind w:left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054C7D">
        <w:rPr>
          <w:color w:val="auto"/>
          <w:sz w:val="22"/>
          <w:szCs w:val="22"/>
        </w:rPr>
        <w:t>)</w:t>
      </w:r>
      <w:r w:rsidR="00341046">
        <w:rPr>
          <w:color w:val="auto"/>
          <w:sz w:val="22"/>
          <w:szCs w:val="22"/>
        </w:rPr>
        <w:t xml:space="preserve"> </w:t>
      </w:r>
      <w:r w:rsidR="00054C7D">
        <w:rPr>
          <w:color w:val="auto"/>
          <w:sz w:val="22"/>
          <w:szCs w:val="22"/>
        </w:rPr>
        <w:t xml:space="preserve">minden adat </w:t>
      </w:r>
      <w:r w:rsidR="00294466">
        <w:rPr>
          <w:color w:val="auto"/>
          <w:sz w:val="22"/>
          <w:szCs w:val="22"/>
        </w:rPr>
        <w:t>megfelel</w:t>
      </w:r>
      <w:r w:rsidR="00441858">
        <w:rPr>
          <w:color w:val="auto"/>
          <w:sz w:val="22"/>
          <w:szCs w:val="22"/>
        </w:rPr>
        <w:t>jen</w:t>
      </w:r>
      <w:r w:rsidR="00294466">
        <w:rPr>
          <w:color w:val="auto"/>
          <w:sz w:val="22"/>
          <w:szCs w:val="22"/>
        </w:rPr>
        <w:t xml:space="preserve"> </w:t>
      </w:r>
      <w:r w:rsidR="00054C7D">
        <w:rPr>
          <w:color w:val="auto"/>
          <w:sz w:val="22"/>
          <w:szCs w:val="22"/>
        </w:rPr>
        <w:t xml:space="preserve">az </w:t>
      </w:r>
      <w:r w:rsidR="00294466">
        <w:rPr>
          <w:color w:val="auto"/>
          <w:sz w:val="22"/>
          <w:szCs w:val="22"/>
        </w:rPr>
        <w:t xml:space="preserve">ACER által meghatározott fájl elnevezés követelményeinek és az </w:t>
      </w:r>
      <w:r>
        <w:rPr>
          <w:color w:val="auto"/>
          <w:sz w:val="22"/>
          <w:szCs w:val="22"/>
        </w:rPr>
        <w:t>előírt</w:t>
      </w:r>
      <w:r w:rsidR="00294466">
        <w:rPr>
          <w:color w:val="auto"/>
          <w:sz w:val="22"/>
          <w:szCs w:val="22"/>
        </w:rPr>
        <w:t xml:space="preserve"> </w:t>
      </w:r>
      <w:r w:rsidR="00054C7D">
        <w:rPr>
          <w:color w:val="auto"/>
          <w:sz w:val="22"/>
          <w:szCs w:val="22"/>
        </w:rPr>
        <w:t xml:space="preserve">XSD mintának megfelelő formátumban </w:t>
      </w:r>
      <w:r w:rsidR="00054C7D" w:rsidRPr="00441858">
        <w:rPr>
          <w:color w:val="auto"/>
          <w:sz w:val="22"/>
          <w:szCs w:val="22"/>
        </w:rPr>
        <w:t>le</w:t>
      </w:r>
      <w:r w:rsidR="00441858" w:rsidRPr="00441858">
        <w:rPr>
          <w:color w:val="auto"/>
          <w:sz w:val="22"/>
          <w:szCs w:val="22"/>
        </w:rPr>
        <w:t>gyen</w:t>
      </w:r>
      <w:r w:rsidR="00054C7D">
        <w:rPr>
          <w:color w:val="auto"/>
          <w:sz w:val="22"/>
          <w:szCs w:val="22"/>
        </w:rPr>
        <w:t xml:space="preserve"> előállítva,</w:t>
      </w:r>
    </w:p>
    <w:p w14:paraId="5E773104" w14:textId="729282B1" w:rsidR="00054C7D" w:rsidRDefault="001634FE" w:rsidP="00341046">
      <w:pPr>
        <w:pStyle w:val="Default"/>
        <w:spacing w:before="120"/>
        <w:ind w:left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054C7D">
        <w:rPr>
          <w:color w:val="auto"/>
          <w:sz w:val="22"/>
          <w:szCs w:val="22"/>
        </w:rPr>
        <w:t>)</w:t>
      </w:r>
      <w:r w:rsidR="00341046">
        <w:rPr>
          <w:color w:val="auto"/>
          <w:sz w:val="22"/>
          <w:szCs w:val="22"/>
        </w:rPr>
        <w:t xml:space="preserve"> </w:t>
      </w:r>
      <w:r w:rsidR="00054C7D">
        <w:rPr>
          <w:color w:val="auto"/>
          <w:sz w:val="22"/>
          <w:szCs w:val="22"/>
        </w:rPr>
        <w:t xml:space="preserve">a biztonságos adatcsere protokollok szerint minden adat megfelelően </w:t>
      </w:r>
      <w:r w:rsidR="00054C7D" w:rsidRPr="00441858">
        <w:rPr>
          <w:color w:val="auto"/>
          <w:sz w:val="22"/>
          <w:szCs w:val="22"/>
        </w:rPr>
        <w:t>le</w:t>
      </w:r>
      <w:r w:rsidR="00441858" w:rsidRPr="00441858">
        <w:rPr>
          <w:color w:val="auto"/>
          <w:sz w:val="22"/>
          <w:szCs w:val="22"/>
        </w:rPr>
        <w:t>gyen</w:t>
      </w:r>
      <w:r w:rsidR="00054C7D">
        <w:rPr>
          <w:color w:val="auto"/>
          <w:sz w:val="22"/>
          <w:szCs w:val="22"/>
        </w:rPr>
        <w:t xml:space="preserve"> aláírva és kódolva.</w:t>
      </w:r>
    </w:p>
    <w:p w14:paraId="1DA04E88" w14:textId="77777777" w:rsidR="001634FE" w:rsidRDefault="001634FE" w:rsidP="001634FE">
      <w:pPr>
        <w:pStyle w:val="Default"/>
        <w:rPr>
          <w:color w:val="auto"/>
          <w:sz w:val="22"/>
          <w:szCs w:val="22"/>
        </w:rPr>
      </w:pPr>
    </w:p>
    <w:p w14:paraId="29F17659" w14:textId="79ACBC74" w:rsidR="00054C7D" w:rsidRDefault="00054C7D" w:rsidP="001634FE">
      <w:pPr>
        <w:pStyle w:val="Default"/>
        <w:numPr>
          <w:ilvl w:val="1"/>
          <w:numId w:val="15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</w:t>
      </w:r>
      <w:r w:rsidR="001634FE">
        <w:rPr>
          <w:color w:val="auto"/>
          <w:sz w:val="22"/>
          <w:szCs w:val="22"/>
        </w:rPr>
        <w:t xml:space="preserve">KP és a KELER Zrt., mint </w:t>
      </w:r>
      <w:r>
        <w:rPr>
          <w:color w:val="auto"/>
          <w:sz w:val="22"/>
          <w:szCs w:val="22"/>
        </w:rPr>
        <w:t xml:space="preserve">RRM Szolgáltató által továbbított adatok minőségét az </w:t>
      </w:r>
      <w:r w:rsidR="00ED691B">
        <w:rPr>
          <w:color w:val="auto"/>
          <w:sz w:val="22"/>
          <w:szCs w:val="22"/>
        </w:rPr>
        <w:t xml:space="preserve">biztosítja, hogy azok </w:t>
      </w:r>
      <w:r>
        <w:rPr>
          <w:color w:val="auto"/>
          <w:sz w:val="22"/>
          <w:szCs w:val="22"/>
        </w:rPr>
        <w:t xml:space="preserve">ARIS kompatibilis XML </w:t>
      </w:r>
      <w:r w:rsidR="00ED691B">
        <w:rPr>
          <w:color w:val="auto"/>
          <w:sz w:val="22"/>
          <w:szCs w:val="22"/>
        </w:rPr>
        <w:t xml:space="preserve">formátumú </w:t>
      </w:r>
      <w:r>
        <w:rPr>
          <w:color w:val="auto"/>
          <w:sz w:val="22"/>
          <w:szCs w:val="22"/>
        </w:rPr>
        <w:t>fájl</w:t>
      </w:r>
      <w:r w:rsidR="00ED691B">
        <w:rPr>
          <w:color w:val="auto"/>
          <w:sz w:val="22"/>
          <w:szCs w:val="22"/>
        </w:rPr>
        <w:t>ként kerülnek továbbításra</w:t>
      </w:r>
      <w:r>
        <w:rPr>
          <w:color w:val="auto"/>
          <w:sz w:val="22"/>
          <w:szCs w:val="22"/>
        </w:rPr>
        <w:t>.</w:t>
      </w:r>
    </w:p>
    <w:p w14:paraId="2F55FDFD" w14:textId="77777777" w:rsidR="001634FE" w:rsidRDefault="001634FE" w:rsidP="001634F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0FD9B98" w14:textId="5E5A9DF7" w:rsidR="00054C7D" w:rsidRDefault="001634FE" w:rsidP="001634FE">
      <w:pPr>
        <w:pStyle w:val="Default"/>
        <w:numPr>
          <w:ilvl w:val="1"/>
          <w:numId w:val="15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A KP és a KELER Zrt</w:t>
      </w:r>
      <w:r w:rsidR="00054C7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között a Kereskedési Platform REMIT jelentéseinek továbbítására létrejött szerződés </w:t>
      </w:r>
      <w:r w:rsidR="00054C7D">
        <w:rPr>
          <w:color w:val="auto"/>
          <w:sz w:val="22"/>
          <w:szCs w:val="22"/>
        </w:rPr>
        <w:t xml:space="preserve">biztosítja, hogy a </w:t>
      </w:r>
      <w:r>
        <w:rPr>
          <w:color w:val="auto"/>
          <w:sz w:val="22"/>
          <w:szCs w:val="22"/>
        </w:rPr>
        <w:t>KELER Zrt</w:t>
      </w:r>
      <w:r w:rsidR="00CC6C75">
        <w:rPr>
          <w:color w:val="auto"/>
          <w:sz w:val="22"/>
          <w:szCs w:val="22"/>
        </w:rPr>
        <w:t>.</w:t>
      </w:r>
      <w:r w:rsidR="00054C7D">
        <w:rPr>
          <w:color w:val="auto"/>
          <w:sz w:val="22"/>
          <w:szCs w:val="22"/>
        </w:rPr>
        <w:t xml:space="preserve">, mint jelentést továbbító fél által teljesített adatszolgáltatás megfelel az ACER által kiadott műszaki specifikációkban rögzített </w:t>
      </w:r>
      <w:r w:rsidR="007109D7">
        <w:rPr>
          <w:color w:val="auto"/>
          <w:sz w:val="22"/>
          <w:szCs w:val="22"/>
        </w:rPr>
        <w:t xml:space="preserve">formai és logikai </w:t>
      </w:r>
      <w:r w:rsidR="00054C7D">
        <w:rPr>
          <w:color w:val="auto"/>
          <w:sz w:val="22"/>
          <w:szCs w:val="22"/>
        </w:rPr>
        <w:t xml:space="preserve">követelményeknek. Az adatok megfelelőségét és az adatszolgáltatás teljességét a </w:t>
      </w:r>
      <w:r>
        <w:rPr>
          <w:color w:val="auto"/>
          <w:sz w:val="22"/>
          <w:szCs w:val="22"/>
        </w:rPr>
        <w:t>KELER Zrt</w:t>
      </w:r>
      <w:r w:rsidR="00CC6C75">
        <w:rPr>
          <w:color w:val="auto"/>
          <w:sz w:val="22"/>
          <w:szCs w:val="22"/>
        </w:rPr>
        <w:t>.</w:t>
      </w:r>
      <w:r w:rsidR="00054C7D">
        <w:rPr>
          <w:color w:val="auto"/>
          <w:sz w:val="22"/>
          <w:szCs w:val="22"/>
        </w:rPr>
        <w:t xml:space="preserve"> a jelentések digitális aláírásával igazolja.</w:t>
      </w:r>
    </w:p>
    <w:p w14:paraId="6C46D109" w14:textId="77777777" w:rsidR="001634FE" w:rsidRDefault="001634FE" w:rsidP="001634FE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73CE36A9" w14:textId="4AFE7902" w:rsidR="00054C7D" w:rsidRDefault="00054C7D" w:rsidP="001634FE">
      <w:pPr>
        <w:pStyle w:val="Default"/>
        <w:numPr>
          <w:ilvl w:val="1"/>
          <w:numId w:val="15"/>
        </w:num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jelentések </w:t>
      </w:r>
      <w:r w:rsidR="00441858">
        <w:rPr>
          <w:color w:val="auto"/>
          <w:sz w:val="22"/>
          <w:szCs w:val="22"/>
        </w:rPr>
        <w:t xml:space="preserve">teljesítése </w:t>
      </w:r>
      <w:r>
        <w:rPr>
          <w:color w:val="auto"/>
          <w:sz w:val="22"/>
          <w:szCs w:val="22"/>
        </w:rPr>
        <w:t>a REMIT Vhr.</w:t>
      </w:r>
      <w:r w:rsidR="00441858">
        <w:rPr>
          <w:color w:val="auto"/>
          <w:sz w:val="22"/>
          <w:szCs w:val="22"/>
        </w:rPr>
        <w:t>-ben</w:t>
      </w:r>
      <w:r>
        <w:rPr>
          <w:color w:val="auto"/>
          <w:sz w:val="22"/>
          <w:szCs w:val="22"/>
        </w:rPr>
        <w:t xml:space="preserve"> előír</w:t>
      </w:r>
      <w:r w:rsidR="00441858">
        <w:rPr>
          <w:color w:val="auto"/>
          <w:sz w:val="22"/>
          <w:szCs w:val="22"/>
        </w:rPr>
        <w:t>t ütemezés szerint történik</w:t>
      </w:r>
      <w:r>
        <w:rPr>
          <w:color w:val="auto"/>
          <w:sz w:val="22"/>
          <w:szCs w:val="22"/>
        </w:rPr>
        <w:t>.</w:t>
      </w:r>
    </w:p>
    <w:p w14:paraId="4913DCEB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3A1E855C" w14:textId="1512870F" w:rsidR="0038631C" w:rsidRDefault="0038631C" w:rsidP="0038631C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KP az alábbi ellenőrző funkciókat biztosítja:</w:t>
      </w:r>
    </w:p>
    <w:p w14:paraId="3FEEF011" w14:textId="77777777" w:rsidR="0038631C" w:rsidRDefault="0038631C" w:rsidP="0038631C">
      <w:pPr>
        <w:pStyle w:val="Default"/>
        <w:numPr>
          <w:ilvl w:val="0"/>
          <w:numId w:val="17"/>
        </w:numPr>
        <w:spacing w:before="120"/>
        <w:ind w:left="113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információbiztonság és titkosság,</w:t>
      </w:r>
    </w:p>
    <w:p w14:paraId="4C7C8741" w14:textId="77777777" w:rsidR="0038631C" w:rsidRDefault="0038631C" w:rsidP="0038631C">
      <w:pPr>
        <w:pStyle w:val="Default"/>
        <w:numPr>
          <w:ilvl w:val="0"/>
          <w:numId w:val="17"/>
        </w:numPr>
        <w:spacing w:before="120"/>
        <w:ind w:left="113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jelentési hibák azonosítása és a hatáskörébe tartozók javítása,</w:t>
      </w:r>
    </w:p>
    <w:p w14:paraId="605DA29A" w14:textId="77777777" w:rsidR="0038631C" w:rsidRDefault="0038631C" w:rsidP="0038631C">
      <w:pPr>
        <w:pStyle w:val="Default"/>
        <w:numPr>
          <w:ilvl w:val="0"/>
          <w:numId w:val="17"/>
        </w:numPr>
        <w:spacing w:before="120"/>
        <w:ind w:left="113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az információforrás tanúsításának ellenőrzése a Rendszerhasználónak és a Rendszerhasználón keresztül adatokat továbbító egyéb piaci résztvevőnek az azonosítása céljából,</w:t>
      </w:r>
    </w:p>
    <w:p w14:paraId="0333CD8F" w14:textId="77777777" w:rsidR="0038631C" w:rsidRDefault="0038631C" w:rsidP="0038631C">
      <w:pPr>
        <w:pStyle w:val="Default"/>
        <w:numPr>
          <w:ilvl w:val="0"/>
          <w:numId w:val="17"/>
        </w:numPr>
        <w:spacing w:before="120"/>
        <w:ind w:left="1134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beérkező adatok megváltozásának kizárása.</w:t>
      </w:r>
    </w:p>
    <w:p w14:paraId="1A0EF006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4AF81806" w14:textId="77777777" w:rsidR="00B7526B" w:rsidRDefault="00B7526B" w:rsidP="00054C7D">
      <w:pPr>
        <w:pStyle w:val="Default"/>
        <w:rPr>
          <w:color w:val="auto"/>
          <w:sz w:val="22"/>
          <w:szCs w:val="22"/>
        </w:rPr>
      </w:pPr>
    </w:p>
    <w:p w14:paraId="055539F9" w14:textId="77777777" w:rsidR="00054C7D" w:rsidRPr="001634FE" w:rsidRDefault="00054C7D" w:rsidP="001634FE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 szolgáltatás díja</w:t>
      </w:r>
    </w:p>
    <w:p w14:paraId="319DB0D7" w14:textId="77777777" w:rsidR="00054C7D" w:rsidRDefault="00455D91" w:rsidP="00455D91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Jelen Me</w:t>
      </w:r>
      <w:r w:rsidR="00330950">
        <w:rPr>
          <w:color w:val="auto"/>
          <w:sz w:val="22"/>
          <w:szCs w:val="22"/>
        </w:rPr>
        <w:t>gállapodás 1. és 2. pontja szerinti</w:t>
      </w:r>
      <w:r w:rsidR="00054C7D">
        <w:rPr>
          <w:color w:val="auto"/>
          <w:sz w:val="22"/>
          <w:szCs w:val="22"/>
        </w:rPr>
        <w:t xml:space="preserve"> </w:t>
      </w:r>
      <w:r w:rsidR="00330950">
        <w:rPr>
          <w:color w:val="auto"/>
          <w:sz w:val="22"/>
          <w:szCs w:val="22"/>
        </w:rPr>
        <w:t xml:space="preserve">szolgáltatás </w:t>
      </w:r>
      <w:r w:rsidR="00054C7D">
        <w:rPr>
          <w:color w:val="auto"/>
          <w:sz w:val="22"/>
          <w:szCs w:val="22"/>
        </w:rPr>
        <w:t>biztosításának havi díja:</w:t>
      </w:r>
    </w:p>
    <w:p w14:paraId="09960878" w14:textId="02D40772" w:rsidR="00054C7D" w:rsidRDefault="00054C7D" w:rsidP="00054C7D">
      <w:pPr>
        <w:pStyle w:val="Default"/>
        <w:spacing w:before="7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943294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.000 HUF + ÁFA</w:t>
      </w:r>
    </w:p>
    <w:p w14:paraId="5BCF8755" w14:textId="1B2E4E59" w:rsidR="002F61A8" w:rsidRDefault="003B5BE2" w:rsidP="002F61A8">
      <w:pPr>
        <w:pStyle w:val="Default"/>
        <w:spacing w:before="7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azaz öt</w:t>
      </w:r>
      <w:r w:rsidR="00943294">
        <w:rPr>
          <w:color w:val="auto"/>
          <w:sz w:val="22"/>
          <w:szCs w:val="22"/>
        </w:rPr>
        <w:t>ven</w:t>
      </w:r>
      <w:r>
        <w:rPr>
          <w:color w:val="auto"/>
          <w:sz w:val="22"/>
          <w:szCs w:val="22"/>
        </w:rPr>
        <w:t>ezer forint + ÁFA</w:t>
      </w:r>
      <w:r w:rsidR="00943294">
        <w:rPr>
          <w:color w:val="auto"/>
          <w:sz w:val="22"/>
          <w:szCs w:val="22"/>
        </w:rPr>
        <w:t>.</w:t>
      </w:r>
    </w:p>
    <w:p w14:paraId="4387BA5F" w14:textId="77777777" w:rsidR="00943294" w:rsidRDefault="00943294" w:rsidP="002F61A8">
      <w:pPr>
        <w:pStyle w:val="Default"/>
        <w:spacing w:before="73"/>
        <w:jc w:val="both"/>
        <w:rPr>
          <w:color w:val="auto"/>
          <w:sz w:val="22"/>
          <w:szCs w:val="22"/>
        </w:rPr>
      </w:pPr>
    </w:p>
    <w:p w14:paraId="490596F8" w14:textId="77777777" w:rsidR="00943294" w:rsidRDefault="00943294" w:rsidP="002F61A8">
      <w:pPr>
        <w:pStyle w:val="Default"/>
        <w:spacing w:before="7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szolgáltatásért fizetendő havidíj átalánydíj, mely tartalmazza a </w:t>
      </w:r>
      <w:proofErr w:type="spellStart"/>
      <w:r>
        <w:rPr>
          <w:color w:val="auto"/>
          <w:sz w:val="22"/>
          <w:szCs w:val="22"/>
        </w:rPr>
        <w:t>KP-nak</w:t>
      </w:r>
      <w:proofErr w:type="spellEnd"/>
      <w:r>
        <w:rPr>
          <w:color w:val="auto"/>
          <w:sz w:val="22"/>
          <w:szCs w:val="22"/>
        </w:rPr>
        <w:t xml:space="preserve"> a jelen Megállapodás teljesítésével kapcsolatos valamennyi költségét és kiadását.</w:t>
      </w:r>
    </w:p>
    <w:p w14:paraId="767D745E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2ABE897B" w14:textId="77777777" w:rsidR="00B7526B" w:rsidRDefault="00B7526B" w:rsidP="00054C7D">
      <w:pPr>
        <w:pStyle w:val="Default"/>
        <w:rPr>
          <w:color w:val="auto"/>
          <w:sz w:val="22"/>
          <w:szCs w:val="22"/>
        </w:rPr>
      </w:pPr>
    </w:p>
    <w:p w14:paraId="45E636E7" w14:textId="77777777" w:rsidR="00054C7D" w:rsidRPr="00330950" w:rsidRDefault="00054C7D" w:rsidP="00330950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Számlázási és fizetési feltételek</w:t>
      </w:r>
    </w:p>
    <w:p w14:paraId="2BD52665" w14:textId="0BE539FD" w:rsidR="00054C7D" w:rsidRDefault="00054C7D" w:rsidP="0024613E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</w:t>
      </w:r>
      <w:r w:rsidR="00877375">
        <w:rPr>
          <w:color w:val="auto"/>
          <w:sz w:val="22"/>
          <w:szCs w:val="22"/>
        </w:rPr>
        <w:t>KP</w:t>
      </w:r>
      <w:r>
        <w:rPr>
          <w:color w:val="auto"/>
          <w:sz w:val="22"/>
          <w:szCs w:val="22"/>
        </w:rPr>
        <w:t xml:space="preserve"> a tárgyhavi díjról szóló számlát legkésőbb a tárgyhó 10. naptári napjáig köteles kiállítani és elküldeni a Rendszerhasználó részére. Felek időszakonkénti elszámolásban állapodnak meg. Az elszámolási időszak 1 naptári hónap. Felek a teljesítés időpontját a mindenkor hatályos</w:t>
      </w:r>
      <w:r w:rsidR="00584087">
        <w:rPr>
          <w:color w:val="auto"/>
          <w:sz w:val="22"/>
          <w:szCs w:val="22"/>
        </w:rPr>
        <w:t xml:space="preserve"> ÁFA-törvény vonatkozó rendelkezései (mely a szerződéskötés időpontjában a</w:t>
      </w:r>
      <w:r>
        <w:rPr>
          <w:color w:val="auto"/>
          <w:sz w:val="22"/>
          <w:szCs w:val="22"/>
        </w:rPr>
        <w:t xml:space="preserve"> 2007. évi CXXVII. általános forgalmi adóról szóló törvény 58. §-a</w:t>
      </w:r>
      <w:r w:rsidR="00584087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alapján határozzák meg. </w:t>
      </w:r>
    </w:p>
    <w:p w14:paraId="2B2EA871" w14:textId="29E7F100" w:rsidR="00054C7D" w:rsidRDefault="00054C7D" w:rsidP="00877375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Rendszerhasználó a havi díjat az arra vonatkozó számla kiállításától számított 15 (tizenöt) napon belül köteles a </w:t>
      </w:r>
      <w:r w:rsidR="00877375">
        <w:rPr>
          <w:color w:val="auto"/>
          <w:sz w:val="22"/>
          <w:szCs w:val="22"/>
        </w:rPr>
        <w:t>KP</w:t>
      </w:r>
      <w:r>
        <w:rPr>
          <w:color w:val="auto"/>
          <w:sz w:val="22"/>
          <w:szCs w:val="22"/>
        </w:rPr>
        <w:t xml:space="preserve"> bankszámlájára történő átutalással rendezni. A számla pénzügyileg rendezettnek akkor minősül, amikor annak teljes összege a </w:t>
      </w:r>
      <w:r w:rsidR="00877375">
        <w:rPr>
          <w:color w:val="auto"/>
          <w:sz w:val="22"/>
          <w:szCs w:val="22"/>
        </w:rPr>
        <w:t>KP</w:t>
      </w:r>
      <w:r>
        <w:rPr>
          <w:color w:val="auto"/>
          <w:sz w:val="22"/>
          <w:szCs w:val="22"/>
        </w:rPr>
        <w:t xml:space="preserve"> bankszámláján jóváírásra került. Amennyiben a fizetési határidő napja bankszünnapra esik, akkor az azt </w:t>
      </w:r>
      <w:r w:rsidR="00CD7E44">
        <w:rPr>
          <w:color w:val="auto"/>
          <w:sz w:val="22"/>
          <w:szCs w:val="22"/>
        </w:rPr>
        <w:t>megelőző utolsó</w:t>
      </w:r>
      <w:r>
        <w:rPr>
          <w:color w:val="auto"/>
          <w:sz w:val="22"/>
          <w:szCs w:val="22"/>
        </w:rPr>
        <w:t xml:space="preserve"> munkanapon kell a </w:t>
      </w:r>
      <w:proofErr w:type="gramStart"/>
      <w:r w:rsidR="00584087">
        <w:rPr>
          <w:color w:val="auto"/>
          <w:sz w:val="22"/>
          <w:szCs w:val="22"/>
        </w:rPr>
        <w:t>jóváírásnak</w:t>
      </w:r>
      <w:r w:rsidR="00FE1E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megtörténnie</w:t>
      </w:r>
      <w:proofErr w:type="gramEnd"/>
      <w:r>
        <w:rPr>
          <w:color w:val="auto"/>
          <w:sz w:val="22"/>
          <w:szCs w:val="22"/>
        </w:rPr>
        <w:t>.</w:t>
      </w:r>
    </w:p>
    <w:p w14:paraId="3800AFEC" w14:textId="69905AAC" w:rsidR="00054C7D" w:rsidRDefault="00877375" w:rsidP="00877375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 a Rendszerhasználó nem fizeti meg a számlázott díjat annak esedékességéig, akkor a KP a késedelmes összegre, a késedelem idejére késedelmi kamatot számít fel a fizetési határidőtől a tényleges fizetés napjáig minden késedelemmel érintett napra a Ptk. 6:155 §(1) bekezdése szerint. A késedelmi kamat összegét </w:t>
      </w:r>
      <w:r w:rsidR="00B7526B">
        <w:rPr>
          <w:color w:val="auto"/>
          <w:sz w:val="22"/>
          <w:szCs w:val="22"/>
        </w:rPr>
        <w:t xml:space="preserve">360 napos év figyelembevételével </w:t>
      </w:r>
      <w:r w:rsidR="00ED691B">
        <w:rPr>
          <w:color w:val="auto"/>
          <w:sz w:val="22"/>
          <w:szCs w:val="22"/>
        </w:rPr>
        <w:t xml:space="preserve">a </w:t>
      </w:r>
      <w:r w:rsidR="00B7526B">
        <w:rPr>
          <w:color w:val="auto"/>
          <w:sz w:val="22"/>
          <w:szCs w:val="22"/>
        </w:rPr>
        <w:t>ténylegesen</w:t>
      </w:r>
      <w:r w:rsidR="00ED691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eltelt napok alapján számítják a Felek. A Rendszerhasználó köteles a felhalmozódott késedelmi kamatot a KP írásbeli felszólításának kiállítását követő 8 napon belül a KP részére megfizetni.</w:t>
      </w:r>
    </w:p>
    <w:p w14:paraId="0D69C568" w14:textId="77777777" w:rsidR="00054C7D" w:rsidRDefault="00054C7D" w:rsidP="00877375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Amennyiben a Rendszerhasználónak a </w:t>
      </w:r>
      <w:r w:rsidR="00877375">
        <w:rPr>
          <w:color w:val="auto"/>
          <w:sz w:val="22"/>
          <w:szCs w:val="22"/>
        </w:rPr>
        <w:t>KP-</w:t>
      </w:r>
      <w:proofErr w:type="spellStart"/>
      <w:r>
        <w:rPr>
          <w:color w:val="auto"/>
          <w:sz w:val="22"/>
          <w:szCs w:val="22"/>
        </w:rPr>
        <w:t>val</w:t>
      </w:r>
      <w:proofErr w:type="spellEnd"/>
      <w:r>
        <w:rPr>
          <w:color w:val="auto"/>
          <w:sz w:val="22"/>
          <w:szCs w:val="22"/>
        </w:rPr>
        <w:t xml:space="preserve"> szemben határidőn túli kötelezettsége keletkezik, a </w:t>
      </w:r>
      <w:r w:rsidR="00877375">
        <w:rPr>
          <w:color w:val="auto"/>
          <w:sz w:val="22"/>
          <w:szCs w:val="22"/>
        </w:rPr>
        <w:t>KP</w:t>
      </w:r>
      <w:r>
        <w:rPr>
          <w:color w:val="auto"/>
          <w:sz w:val="22"/>
          <w:szCs w:val="22"/>
        </w:rPr>
        <w:t xml:space="preserve"> jogosult a Rendszerhasználóval szemben a Megállapodásból, vagy más jogviszonyból eredő fizetési kötelezettségébe a Rendszerhasználó lejárt tartozását beszámítani, és erről a Rendszerhasználót egyidejűleg tájékoztatni. </w:t>
      </w:r>
    </w:p>
    <w:p w14:paraId="2DC6E400" w14:textId="77777777" w:rsidR="0082630C" w:rsidRDefault="0082630C" w:rsidP="00054C7D">
      <w:pPr>
        <w:pStyle w:val="Default"/>
        <w:ind w:hanging="714"/>
        <w:jc w:val="both"/>
        <w:rPr>
          <w:b/>
          <w:bCs/>
          <w:color w:val="auto"/>
          <w:sz w:val="22"/>
          <w:szCs w:val="22"/>
        </w:rPr>
      </w:pPr>
    </w:p>
    <w:p w14:paraId="373D46CF" w14:textId="77777777" w:rsidR="00B7526B" w:rsidRDefault="00B7526B" w:rsidP="00054C7D">
      <w:pPr>
        <w:pStyle w:val="Default"/>
        <w:ind w:hanging="714"/>
        <w:jc w:val="both"/>
        <w:rPr>
          <w:b/>
          <w:bCs/>
          <w:color w:val="auto"/>
          <w:sz w:val="22"/>
          <w:szCs w:val="22"/>
        </w:rPr>
      </w:pPr>
    </w:p>
    <w:p w14:paraId="422596D6" w14:textId="76BAAB13" w:rsidR="00054C7D" w:rsidRPr="007C5D9C" w:rsidRDefault="00054C7D" w:rsidP="007C5D9C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Felelősség</w:t>
      </w:r>
    </w:p>
    <w:p w14:paraId="37186A7B" w14:textId="77777777" w:rsidR="00054C7D" w:rsidRDefault="00054C7D" w:rsidP="007C5D9C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REMIT Vhr. 11. cikk (2) bekezdése szerint a jelentéskötelezett személyek felelősséggel tartoznak a lejelentésre kerülő kereskedelmi és alapvető adatok teljességéért, pontosságáért és az adatszolgáltatás határidőre történő teljesítéséért. Ezen feltételek teljesüléséért a Rendszerhasználó felel. </w:t>
      </w:r>
    </w:p>
    <w:p w14:paraId="3EB9C940" w14:textId="46322E5B" w:rsidR="00054C7D" w:rsidRDefault="00054C7D" w:rsidP="007C5D9C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Mindazonáltal jelen Megállapodás értelmében a Rendszerhasználó nem felelős a </w:t>
      </w:r>
      <w:proofErr w:type="spellStart"/>
      <w:r w:rsidR="007C5D9C">
        <w:rPr>
          <w:color w:val="auto"/>
          <w:sz w:val="22"/>
          <w:szCs w:val="22"/>
        </w:rPr>
        <w:t>KP-</w:t>
      </w:r>
      <w:r>
        <w:rPr>
          <w:color w:val="auto"/>
          <w:sz w:val="22"/>
          <w:szCs w:val="22"/>
        </w:rPr>
        <w:t>nak</w:t>
      </w:r>
      <w:proofErr w:type="spellEnd"/>
      <w:r>
        <w:rPr>
          <w:color w:val="auto"/>
          <w:sz w:val="22"/>
          <w:szCs w:val="22"/>
        </w:rPr>
        <w:t xml:space="preserve"> tulajdonítható, nem megfelelő formátumú és nem határidőben történő adattovábbításért. </w:t>
      </w:r>
      <w:r w:rsidR="00ED691B">
        <w:rPr>
          <w:color w:val="auto"/>
          <w:sz w:val="22"/>
          <w:szCs w:val="22"/>
        </w:rPr>
        <w:t xml:space="preserve">Amennyiben a jelentés nem megfelelő formátuma vagy késedelmes teljesítése a </w:t>
      </w:r>
      <w:proofErr w:type="spellStart"/>
      <w:r w:rsidR="00ED691B">
        <w:rPr>
          <w:color w:val="auto"/>
          <w:sz w:val="22"/>
          <w:szCs w:val="22"/>
        </w:rPr>
        <w:t>KP-nak</w:t>
      </w:r>
      <w:proofErr w:type="spellEnd"/>
      <w:r w:rsidR="00ED691B">
        <w:rPr>
          <w:color w:val="auto"/>
          <w:sz w:val="22"/>
          <w:szCs w:val="22"/>
        </w:rPr>
        <w:t xml:space="preserve"> felróható, a Rendszerhasználó az 5.1. pont szerinti kötelezettsége ez okból való nem teljesítése miatt bekövetkező </w:t>
      </w:r>
      <w:r w:rsidR="00CB4D4B">
        <w:rPr>
          <w:color w:val="auto"/>
          <w:sz w:val="22"/>
          <w:szCs w:val="22"/>
        </w:rPr>
        <w:t xml:space="preserve">igazolt </w:t>
      </w:r>
      <w:r w:rsidR="00ED691B">
        <w:rPr>
          <w:color w:val="auto"/>
          <w:sz w:val="22"/>
          <w:szCs w:val="22"/>
        </w:rPr>
        <w:t xml:space="preserve">kára megtérítését a Ptk. szerződésszegésre irányadó szabályai szerint </w:t>
      </w:r>
      <w:r w:rsidR="00CB4D4B">
        <w:rPr>
          <w:color w:val="auto"/>
          <w:sz w:val="22"/>
          <w:szCs w:val="22"/>
        </w:rPr>
        <w:t xml:space="preserve">– legfeljebb azonban 3 (három) havi szolgáltatási díj erejéig - </w:t>
      </w:r>
      <w:r w:rsidR="00ED691B">
        <w:rPr>
          <w:color w:val="auto"/>
          <w:sz w:val="22"/>
          <w:szCs w:val="22"/>
        </w:rPr>
        <w:t xml:space="preserve">követelheti a </w:t>
      </w:r>
      <w:proofErr w:type="spellStart"/>
      <w:r w:rsidR="00ED691B">
        <w:rPr>
          <w:color w:val="auto"/>
          <w:sz w:val="22"/>
          <w:szCs w:val="22"/>
        </w:rPr>
        <w:t>KP-tól</w:t>
      </w:r>
      <w:proofErr w:type="spellEnd"/>
      <w:r w:rsidR="00584087">
        <w:rPr>
          <w:color w:val="auto"/>
          <w:sz w:val="22"/>
          <w:szCs w:val="22"/>
        </w:rPr>
        <w:t>; s</w:t>
      </w:r>
      <w:r w:rsidR="00CB4D4B">
        <w:rPr>
          <w:color w:val="auto"/>
          <w:sz w:val="22"/>
          <w:szCs w:val="22"/>
        </w:rPr>
        <w:t xml:space="preserve"> az ezt meghaladó kártérítési igény érvényesítéséről jelen Megállapodás aláírásával kifejezetten lemond.</w:t>
      </w:r>
    </w:p>
    <w:p w14:paraId="282EF023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6AACEB5A" w14:textId="77777777" w:rsidR="00B7526B" w:rsidRDefault="00B7526B" w:rsidP="00054C7D">
      <w:pPr>
        <w:pStyle w:val="Default"/>
        <w:rPr>
          <w:color w:val="auto"/>
          <w:sz w:val="22"/>
          <w:szCs w:val="22"/>
        </w:rPr>
      </w:pPr>
    </w:p>
    <w:p w14:paraId="2BBF3406" w14:textId="77777777" w:rsidR="00054C7D" w:rsidRPr="007C5D9C" w:rsidRDefault="00054C7D" w:rsidP="007C5D9C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Kapcsolattartás</w:t>
      </w:r>
    </w:p>
    <w:p w14:paraId="63277277" w14:textId="7241E931" w:rsidR="00F022B8" w:rsidRDefault="00054C7D" w:rsidP="008224A4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Felek között a jelen Megállapodással és ennek teljesítésével kapcsolatos minden információáramlás írásban történik. A kapcsolattartás e-mailen, vagy levélben történik.</w:t>
      </w:r>
    </w:p>
    <w:p w14:paraId="613BA4B1" w14:textId="7721B4F1" w:rsidR="00054C7D" w:rsidRDefault="00054C7D" w:rsidP="008224A4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Megállapodás tartalmát, díját, határidejét, egyéb feltételeit módosító</w:t>
      </w:r>
      <w:r w:rsidR="00F022B8">
        <w:rPr>
          <w:color w:val="auto"/>
          <w:sz w:val="22"/>
          <w:szCs w:val="22"/>
        </w:rPr>
        <w:t xml:space="preserve"> vagy a megszüntetéséről szóló</w:t>
      </w:r>
      <w:r>
        <w:rPr>
          <w:color w:val="auto"/>
          <w:sz w:val="22"/>
          <w:szCs w:val="22"/>
        </w:rPr>
        <w:t xml:space="preserve"> információkat </w:t>
      </w:r>
      <w:r w:rsidR="00F022B8">
        <w:rPr>
          <w:color w:val="auto"/>
          <w:sz w:val="22"/>
          <w:szCs w:val="22"/>
        </w:rPr>
        <w:t xml:space="preserve">tértivevényes levélben kell közölni, vagy az ilyen információkat </w:t>
      </w:r>
      <w:r>
        <w:rPr>
          <w:color w:val="auto"/>
          <w:sz w:val="22"/>
          <w:szCs w:val="22"/>
        </w:rPr>
        <w:t xml:space="preserve">tartalmazó e-maileket </w:t>
      </w:r>
      <w:r w:rsidR="00CB4D4B">
        <w:rPr>
          <w:color w:val="auto"/>
          <w:sz w:val="22"/>
          <w:szCs w:val="22"/>
        </w:rPr>
        <w:t xml:space="preserve">tértivevényes </w:t>
      </w:r>
      <w:r>
        <w:rPr>
          <w:color w:val="auto"/>
          <w:sz w:val="22"/>
          <w:szCs w:val="22"/>
        </w:rPr>
        <w:t>levélben meg kell erősíteni.</w:t>
      </w:r>
      <w:r w:rsidR="00CB4D4B">
        <w:rPr>
          <w:color w:val="auto"/>
          <w:sz w:val="22"/>
          <w:szCs w:val="22"/>
        </w:rPr>
        <w:t xml:space="preserve"> Amennyiben a tértivevényes küldemény „a címzett ismeretlen”, „ismeretlen helyre költözött”</w:t>
      </w:r>
      <w:r w:rsidR="00F022B8">
        <w:rPr>
          <w:color w:val="auto"/>
          <w:sz w:val="22"/>
          <w:szCs w:val="22"/>
        </w:rPr>
        <w:t>, „az átvételt megtagadta”</w:t>
      </w:r>
      <w:r w:rsidR="00CB4D4B">
        <w:rPr>
          <w:color w:val="auto"/>
          <w:sz w:val="22"/>
          <w:szCs w:val="22"/>
        </w:rPr>
        <w:t xml:space="preserve"> jelzéssel érkezik vissza a feladóhoz, akkor már a kézbesítés megkísérlésének napján, ha pedig „nem kereste” jelzéssel, akkor a második kézbesítési kísérletet követő 5. munkanapon kézbesítettnek tekintendő.</w:t>
      </w:r>
    </w:p>
    <w:p w14:paraId="482A0453" w14:textId="77777777" w:rsidR="00054C7D" w:rsidRDefault="00054C7D" w:rsidP="008614F9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Kijelölt kapcsolattartók:</w:t>
      </w:r>
    </w:p>
    <w:p w14:paraId="0EF4BED2" w14:textId="31C66197" w:rsidR="00054C7D" w:rsidRDefault="008614F9" w:rsidP="008614F9">
      <w:pPr>
        <w:pStyle w:val="Default"/>
        <w:numPr>
          <w:ilvl w:val="0"/>
          <w:numId w:val="19"/>
        </w:numPr>
        <w:spacing w:before="120"/>
        <w:ind w:left="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KP</w:t>
      </w:r>
      <w:r w:rsidR="00054C7D">
        <w:rPr>
          <w:color w:val="auto"/>
          <w:sz w:val="22"/>
          <w:szCs w:val="22"/>
        </w:rPr>
        <w:t xml:space="preserve"> részéről: </w:t>
      </w:r>
      <w:r w:rsidR="00534935">
        <w:rPr>
          <w:color w:val="auto"/>
          <w:sz w:val="22"/>
          <w:szCs w:val="22"/>
        </w:rPr>
        <w:t>Bagdi Csaba</w:t>
      </w:r>
    </w:p>
    <w:p w14:paraId="5E492985" w14:textId="77777777" w:rsidR="00054C7D" w:rsidRDefault="00054C7D" w:rsidP="008614F9">
      <w:pPr>
        <w:pStyle w:val="Default"/>
        <w:spacing w:before="120"/>
        <w:ind w:left="2143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Cím:Tanácsház</w:t>
      </w:r>
      <w:proofErr w:type="gramEnd"/>
      <w:r>
        <w:rPr>
          <w:color w:val="auto"/>
          <w:sz w:val="22"/>
          <w:szCs w:val="22"/>
        </w:rPr>
        <w:t xml:space="preserve"> utca 5, Siófok 8600</w:t>
      </w:r>
    </w:p>
    <w:p w14:paraId="37CACC1A" w14:textId="11467F1B" w:rsidR="00054C7D" w:rsidRDefault="00054C7D" w:rsidP="00054C7D">
      <w:pPr>
        <w:pStyle w:val="Default"/>
        <w:spacing w:before="73"/>
        <w:ind w:left="21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e-mail: </w:t>
      </w:r>
      <w:r w:rsidR="00AB04CA">
        <w:rPr>
          <w:color w:val="auto"/>
          <w:sz w:val="22"/>
          <w:szCs w:val="22"/>
        </w:rPr>
        <w:t>csbagdi@fgsz.hu</w:t>
      </w:r>
    </w:p>
    <w:p w14:paraId="7A04D3CA" w14:textId="5886EBCD" w:rsidR="00054C7D" w:rsidRDefault="00054C7D" w:rsidP="00054C7D">
      <w:pPr>
        <w:pStyle w:val="Default"/>
        <w:spacing w:before="73"/>
        <w:ind w:left="21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Telefon: </w:t>
      </w:r>
      <w:r w:rsidR="00AB04CA">
        <w:rPr>
          <w:color w:val="auto"/>
          <w:sz w:val="22"/>
          <w:szCs w:val="22"/>
        </w:rPr>
        <w:t>+36 20 3992340</w:t>
      </w:r>
    </w:p>
    <w:p w14:paraId="263DDE20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2E7F4146" w14:textId="77777777" w:rsidR="00054C7D" w:rsidRDefault="00054C7D" w:rsidP="008614F9">
      <w:pPr>
        <w:pStyle w:val="Default"/>
        <w:numPr>
          <w:ilvl w:val="0"/>
          <w:numId w:val="19"/>
        </w:numPr>
        <w:spacing w:before="120"/>
        <w:ind w:left="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Rendszerhasználó részéről:</w:t>
      </w:r>
    </w:p>
    <w:p w14:paraId="62F7F77D" w14:textId="77777777" w:rsidR="008614F9" w:rsidRDefault="008614F9" w:rsidP="008614F9">
      <w:pPr>
        <w:pStyle w:val="Default"/>
        <w:spacing w:before="120"/>
        <w:ind w:left="2143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Cím:Tanácsház</w:t>
      </w:r>
      <w:proofErr w:type="gramEnd"/>
      <w:r>
        <w:rPr>
          <w:color w:val="auto"/>
          <w:sz w:val="22"/>
          <w:szCs w:val="22"/>
        </w:rPr>
        <w:t xml:space="preserve"> utca 5, Siófok 8600</w:t>
      </w:r>
    </w:p>
    <w:p w14:paraId="5DDE672D" w14:textId="77777777" w:rsidR="008614F9" w:rsidRDefault="008614F9" w:rsidP="008614F9">
      <w:pPr>
        <w:pStyle w:val="Default"/>
        <w:spacing w:before="73"/>
        <w:ind w:left="21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e-mail: </w:t>
      </w:r>
    </w:p>
    <w:p w14:paraId="38291159" w14:textId="77777777" w:rsidR="008614F9" w:rsidRDefault="008614F9" w:rsidP="008614F9">
      <w:pPr>
        <w:pStyle w:val="Default"/>
        <w:spacing w:before="73"/>
        <w:ind w:left="214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Telefon: </w:t>
      </w:r>
    </w:p>
    <w:p w14:paraId="1A8B61AB" w14:textId="7CC0B5EE" w:rsidR="00054C7D" w:rsidRDefault="00054C7D" w:rsidP="008614F9">
      <w:pPr>
        <w:pStyle w:val="Default"/>
        <w:spacing w:before="80"/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vagy bármely más személy, a másik fél előzetes értesítését követően.</w:t>
      </w:r>
    </w:p>
    <w:p w14:paraId="081069A5" w14:textId="64EFA158" w:rsidR="009B42A9" w:rsidRDefault="009B42A9" w:rsidP="001A472C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kijelölt kapcsolattartók a szerződés teljesítése körében felmerülő operatív illetve adminisztratív kérdésekben jogosultak intézkedni, </w:t>
      </w:r>
      <w:r w:rsidR="0038631C">
        <w:rPr>
          <w:color w:val="auto"/>
          <w:sz w:val="22"/>
          <w:szCs w:val="22"/>
        </w:rPr>
        <w:t>cég</w:t>
      </w:r>
      <w:r>
        <w:rPr>
          <w:color w:val="auto"/>
          <w:sz w:val="22"/>
          <w:szCs w:val="22"/>
        </w:rPr>
        <w:t>képviseletére nem jogosultak, pénzügyi kötelezetts</w:t>
      </w:r>
      <w:r w:rsidR="0038631C">
        <w:rPr>
          <w:color w:val="auto"/>
          <w:sz w:val="22"/>
          <w:szCs w:val="22"/>
        </w:rPr>
        <w:t xml:space="preserve">égvállalással, a Megállapodás módosításával vagy </w:t>
      </w:r>
      <w:r w:rsidR="0038631C">
        <w:rPr>
          <w:color w:val="auto"/>
          <w:sz w:val="22"/>
          <w:szCs w:val="22"/>
        </w:rPr>
        <w:lastRenderedPageBreak/>
        <w:t>megszüntetésével járó nyilatkozatok megtételére jelen Megállapodás keretében felhatalmazást nem kaptak.</w:t>
      </w:r>
    </w:p>
    <w:p w14:paraId="702EAAE5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06CDDA54" w14:textId="77777777" w:rsidR="00B7526B" w:rsidRDefault="00B7526B" w:rsidP="00054C7D">
      <w:pPr>
        <w:pStyle w:val="Default"/>
        <w:rPr>
          <w:color w:val="auto"/>
          <w:sz w:val="22"/>
          <w:szCs w:val="22"/>
        </w:rPr>
      </w:pPr>
    </w:p>
    <w:p w14:paraId="495F01DC" w14:textId="77777777" w:rsidR="00054C7D" w:rsidRPr="008614F9" w:rsidRDefault="00054C7D" w:rsidP="008614F9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Titoktartás </w:t>
      </w:r>
    </w:p>
    <w:p w14:paraId="47CD6DA1" w14:textId="7B5F353D" w:rsidR="00843A3C" w:rsidRDefault="00054C7D" w:rsidP="008614F9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Felek kijelentik, hogy a jelen Megállapodás megkötésével és teljesítésével összefüggésben a másik féllel és annak tevékenységével kapcsolatban bármilyen módon tudomásukra jutott adat és tény üzleti titoknak minősül, azt a Felek harmadik személynek nem adhatják ki, nem tehetik hozzáférhetővé és a jelen Megállapodás teljesítésétől eltérő más célra nem használhatják fel. </w:t>
      </w:r>
    </w:p>
    <w:p w14:paraId="0E8A6896" w14:textId="06ADA40D" w:rsidR="00F022B8" w:rsidRDefault="00F022B8" w:rsidP="008614F9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 w:rsidRPr="00A63B45">
        <w:rPr>
          <w:color w:val="auto"/>
          <w:sz w:val="22"/>
          <w:szCs w:val="22"/>
        </w:rPr>
        <w:t>A 7.1. pontban rögzített titoktartási kötelezettség ellenére a KP jogosult arra, hogy a jelen Megállapodás teljesítés</w:t>
      </w:r>
      <w:r>
        <w:rPr>
          <w:color w:val="auto"/>
          <w:sz w:val="22"/>
          <w:szCs w:val="22"/>
        </w:rPr>
        <w:t>éhez</w:t>
      </w:r>
      <w:r w:rsidRPr="00A63B45">
        <w:rPr>
          <w:color w:val="auto"/>
          <w:sz w:val="22"/>
          <w:szCs w:val="22"/>
        </w:rPr>
        <w:t xml:space="preserve"> szükséges adatokat és információkat </w:t>
      </w:r>
      <w:r w:rsidRPr="006A1E83">
        <w:rPr>
          <w:color w:val="auto"/>
          <w:sz w:val="22"/>
          <w:szCs w:val="22"/>
        </w:rPr>
        <w:t xml:space="preserve">– </w:t>
      </w:r>
      <w:r>
        <w:rPr>
          <w:color w:val="auto"/>
          <w:sz w:val="22"/>
          <w:szCs w:val="22"/>
        </w:rPr>
        <w:t xml:space="preserve">ügyelve </w:t>
      </w:r>
      <w:r w:rsidRPr="006A1E83">
        <w:rPr>
          <w:color w:val="auto"/>
          <w:sz w:val="22"/>
          <w:szCs w:val="22"/>
        </w:rPr>
        <w:t xml:space="preserve">az információbiztonság és az adatteljesség követelményeire </w:t>
      </w:r>
      <w:r>
        <w:rPr>
          <w:color w:val="auto"/>
          <w:sz w:val="22"/>
          <w:szCs w:val="22"/>
        </w:rPr>
        <w:t>-</w:t>
      </w:r>
      <w:r w:rsidRPr="00A63B45">
        <w:rPr>
          <w:color w:val="auto"/>
          <w:sz w:val="22"/>
          <w:szCs w:val="22"/>
        </w:rPr>
        <w:t xml:space="preserve"> a REMIT Rendeletben és a REMIT Vhr.-ben előír</w:t>
      </w:r>
      <w:r>
        <w:rPr>
          <w:color w:val="auto"/>
          <w:sz w:val="22"/>
          <w:szCs w:val="22"/>
        </w:rPr>
        <w:t>t</w:t>
      </w:r>
      <w:r w:rsidRPr="00A63B45">
        <w:rPr>
          <w:color w:val="auto"/>
          <w:sz w:val="22"/>
          <w:szCs w:val="22"/>
        </w:rPr>
        <w:t xml:space="preserve"> adatszolgáltatási kötelezettség teljesítése </w:t>
      </w:r>
      <w:r>
        <w:rPr>
          <w:color w:val="auto"/>
          <w:sz w:val="22"/>
          <w:szCs w:val="22"/>
        </w:rPr>
        <w:t>érdekében</w:t>
      </w:r>
      <w:r w:rsidRPr="00A63B45">
        <w:rPr>
          <w:color w:val="auto"/>
          <w:sz w:val="22"/>
          <w:szCs w:val="22"/>
        </w:rPr>
        <w:t xml:space="preserve"> a KELER Zrt. részére továbbítsa</w:t>
      </w:r>
      <w:r>
        <w:rPr>
          <w:color w:val="auto"/>
          <w:sz w:val="22"/>
          <w:szCs w:val="22"/>
        </w:rPr>
        <w:t>; erre, illetve az adatoknak a megfelelő formátumba való konvertálására, jelen Megállapodás aláírásával a Rendszerhasználó kifejezett felhatalmazását adja.</w:t>
      </w:r>
    </w:p>
    <w:p w14:paraId="496CC4C5" w14:textId="77777777" w:rsidR="00054C7D" w:rsidRDefault="00054C7D" w:rsidP="008614F9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titoktartási kötelezettség nem terjed ki az alábbi információkra:</w:t>
      </w:r>
    </w:p>
    <w:p w14:paraId="6CC59BDF" w14:textId="77777777" w:rsidR="00054C7D" w:rsidRDefault="00054C7D" w:rsidP="008614F9">
      <w:pPr>
        <w:pStyle w:val="Default"/>
        <w:numPr>
          <w:ilvl w:val="0"/>
          <w:numId w:val="20"/>
        </w:numPr>
        <w:spacing w:before="120"/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amelyek a nyilvánosság számára rendelkezésre állnak, vagy amelyek a jövőben az ACER adatközlési kötelezettsége következtében válnak nyilvánossá, vagy </w:t>
      </w:r>
    </w:p>
    <w:p w14:paraId="73F99FD6" w14:textId="77777777" w:rsidR="00054C7D" w:rsidRDefault="00054C7D" w:rsidP="008614F9">
      <w:pPr>
        <w:pStyle w:val="Default"/>
        <w:numPr>
          <w:ilvl w:val="0"/>
          <w:numId w:val="20"/>
        </w:numPr>
        <w:spacing w:before="120"/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amelyek bizonyíthatóan már a Megállapodás hatályba lépését megelőzően is ismertek voltak az információt kapó Fél számára, vagy</w:t>
      </w:r>
    </w:p>
    <w:p w14:paraId="4A75CF40" w14:textId="77777777" w:rsidR="00054C7D" w:rsidRDefault="00054C7D" w:rsidP="008614F9">
      <w:pPr>
        <w:pStyle w:val="Default"/>
        <w:numPr>
          <w:ilvl w:val="0"/>
          <w:numId w:val="20"/>
        </w:numPr>
        <w:spacing w:before="120"/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amelynek nyilvánosságra hozatalát</w:t>
      </w:r>
      <w:r w:rsidR="008614F9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vagy kiadását jogszabály, tőzsdei szabályzat vagy hatósági rendelkezés teszi kötelezővé, az előírt mértékben és kör részére.</w:t>
      </w:r>
    </w:p>
    <w:p w14:paraId="249CA37E" w14:textId="77777777" w:rsidR="00054C7D" w:rsidRDefault="00054C7D" w:rsidP="008614F9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Jelen titoktartási kötelezettségvállalás hatályosságát nem érinti a Megállapodás bármilyen okból történő megszűnése, az a Megállapodás megszűnésétől számított 5 évig fennáll.</w:t>
      </w:r>
    </w:p>
    <w:p w14:paraId="2838D910" w14:textId="77777777" w:rsidR="00054C7D" w:rsidRDefault="00054C7D" w:rsidP="00242877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Felek kifejezetten megállapodnak abban, hogy az alábbi folyamatokra nem alkalmazandók a titoktartás szabályai:</w:t>
      </w:r>
    </w:p>
    <w:p w14:paraId="27EC0ECF" w14:textId="4D3DB3A6" w:rsidR="00054C7D" w:rsidRDefault="00054C7D" w:rsidP="00242877">
      <w:pPr>
        <w:pStyle w:val="Default"/>
        <w:numPr>
          <w:ilvl w:val="0"/>
          <w:numId w:val="21"/>
        </w:numPr>
        <w:spacing w:before="120"/>
        <w:ind w:left="11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REMIT jelentési kötelezettségnek megfelelő adattovábbítás </w:t>
      </w:r>
      <w:r w:rsidR="00242877">
        <w:rPr>
          <w:color w:val="auto"/>
          <w:sz w:val="22"/>
          <w:szCs w:val="22"/>
        </w:rPr>
        <w:t>a KELER Zrt. közreműködésével</w:t>
      </w:r>
      <w:r>
        <w:rPr>
          <w:color w:val="auto"/>
          <w:sz w:val="22"/>
          <w:szCs w:val="22"/>
        </w:rPr>
        <w:t xml:space="preserve"> az ACER részére</w:t>
      </w:r>
      <w:r w:rsidR="00A63B45">
        <w:rPr>
          <w:color w:val="auto"/>
          <w:sz w:val="22"/>
          <w:szCs w:val="22"/>
        </w:rPr>
        <w:t>.</w:t>
      </w:r>
    </w:p>
    <w:p w14:paraId="2600E66E" w14:textId="77777777" w:rsidR="00242877" w:rsidRDefault="00242877" w:rsidP="00B7526B">
      <w:pPr>
        <w:pStyle w:val="Default"/>
        <w:rPr>
          <w:color w:val="auto"/>
          <w:sz w:val="22"/>
          <w:szCs w:val="22"/>
        </w:rPr>
      </w:pPr>
    </w:p>
    <w:p w14:paraId="223D7AF2" w14:textId="77777777" w:rsidR="00B7526B" w:rsidRDefault="00B7526B" w:rsidP="00B7526B">
      <w:pPr>
        <w:pStyle w:val="Default"/>
        <w:rPr>
          <w:color w:val="auto"/>
          <w:sz w:val="22"/>
          <w:szCs w:val="22"/>
        </w:rPr>
      </w:pPr>
    </w:p>
    <w:p w14:paraId="0B94CB87" w14:textId="77777777" w:rsidR="00054C7D" w:rsidRPr="00242877" w:rsidRDefault="00054C7D" w:rsidP="00242877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 Megállapodás módosítása</w:t>
      </w:r>
    </w:p>
    <w:p w14:paraId="6650AB0B" w14:textId="77777777" w:rsidR="00054C7D" w:rsidRDefault="00054C7D" w:rsidP="00242877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jelen Megállapodás kizárólag közös megegyezéssel, mindkét Fél által aláírt okiratban módosítható.</w:t>
      </w:r>
    </w:p>
    <w:p w14:paraId="3FBEBD42" w14:textId="77777777" w:rsidR="00054C7D" w:rsidRDefault="00054C7D" w:rsidP="00B7526B">
      <w:pPr>
        <w:pStyle w:val="Default"/>
        <w:rPr>
          <w:color w:val="auto"/>
          <w:sz w:val="22"/>
          <w:szCs w:val="22"/>
        </w:rPr>
      </w:pPr>
    </w:p>
    <w:p w14:paraId="2BA252C2" w14:textId="77777777" w:rsidR="00B7526B" w:rsidRDefault="00B7526B" w:rsidP="00B7526B">
      <w:pPr>
        <w:pStyle w:val="Default"/>
        <w:rPr>
          <w:color w:val="auto"/>
          <w:sz w:val="22"/>
          <w:szCs w:val="22"/>
        </w:rPr>
      </w:pPr>
    </w:p>
    <w:p w14:paraId="136F54E9" w14:textId="77777777" w:rsidR="00054C7D" w:rsidRPr="00242877" w:rsidRDefault="00054C7D" w:rsidP="00242877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 Megállapodás időtartama és megszűnése</w:t>
      </w:r>
    </w:p>
    <w:p w14:paraId="31193082" w14:textId="5321B933" w:rsidR="00054C7D" w:rsidRDefault="00054C7D" w:rsidP="00242877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Jelen Megállapodás az aláírás napján lép hatályba és </w:t>
      </w:r>
      <w:r w:rsidR="00242877">
        <w:rPr>
          <w:color w:val="auto"/>
          <w:sz w:val="22"/>
          <w:szCs w:val="22"/>
        </w:rPr>
        <w:t>határozatlan ideig</w:t>
      </w:r>
      <w:r>
        <w:rPr>
          <w:color w:val="auto"/>
          <w:sz w:val="22"/>
          <w:szCs w:val="22"/>
        </w:rPr>
        <w:t xml:space="preserve"> érvényes</w:t>
      </w:r>
      <w:r w:rsidR="00943294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14:paraId="2E66B81B" w14:textId="77777777" w:rsidR="00054C7D" w:rsidRDefault="00054C7D" w:rsidP="00242877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Jelen Megállapodást bármely fél </w:t>
      </w:r>
      <w:r w:rsidR="00536BFB">
        <w:rPr>
          <w:color w:val="auto"/>
          <w:sz w:val="22"/>
          <w:szCs w:val="22"/>
        </w:rPr>
        <w:t>egy hónap</w:t>
      </w:r>
      <w:r>
        <w:rPr>
          <w:color w:val="auto"/>
          <w:sz w:val="22"/>
          <w:szCs w:val="22"/>
        </w:rPr>
        <w:t xml:space="preserve"> felmondási határidővel, </w:t>
      </w:r>
      <w:r w:rsidR="00943294">
        <w:rPr>
          <w:color w:val="auto"/>
          <w:sz w:val="22"/>
          <w:szCs w:val="22"/>
        </w:rPr>
        <w:t xml:space="preserve">a másik félhez címzett írásbeli nyilatkozatával </w:t>
      </w:r>
      <w:r>
        <w:rPr>
          <w:color w:val="auto"/>
          <w:sz w:val="22"/>
          <w:szCs w:val="22"/>
        </w:rPr>
        <w:t>indoklás nélkül felmondhatja.</w:t>
      </w:r>
    </w:p>
    <w:p w14:paraId="35B1A539" w14:textId="4F413C2D" w:rsidR="00054C7D" w:rsidRDefault="00054C7D" w:rsidP="00242877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Felek súlyos szerződésszegése esetén rendkívüli felmondásnak van helye, melyet megfelelő indoklással kell ellátni</w:t>
      </w:r>
      <w:r w:rsidR="00843A3C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és a</w:t>
      </w:r>
      <w:r w:rsidR="00843A3C">
        <w:rPr>
          <w:color w:val="auto"/>
          <w:sz w:val="22"/>
          <w:szCs w:val="22"/>
        </w:rPr>
        <w:t>mely az erről szóló írásbeli nyilatkozat</w:t>
      </w:r>
      <w:r>
        <w:rPr>
          <w:color w:val="auto"/>
          <w:sz w:val="22"/>
          <w:szCs w:val="22"/>
        </w:rPr>
        <w:t xml:space="preserve"> másik féllel való közlés</w:t>
      </w:r>
      <w:r w:rsidR="00843A3C">
        <w:rPr>
          <w:color w:val="auto"/>
          <w:sz w:val="22"/>
          <w:szCs w:val="22"/>
        </w:rPr>
        <w:t>év</w:t>
      </w:r>
      <w:r>
        <w:rPr>
          <w:color w:val="auto"/>
          <w:sz w:val="22"/>
          <w:szCs w:val="22"/>
        </w:rPr>
        <w:t xml:space="preserve">el hatályosul. </w:t>
      </w:r>
      <w:r w:rsidR="00843A3C">
        <w:rPr>
          <w:color w:val="auto"/>
          <w:sz w:val="22"/>
          <w:szCs w:val="22"/>
        </w:rPr>
        <w:t>A Felek súlyos szerződésszegésnek tekintik különösen, ha a Rendszerhasználó a 3. pont szerinti szolgáltatási díjat nem, vagy nem a 4. pontban megjelölt fizetési határidőben teljesíti.</w:t>
      </w:r>
    </w:p>
    <w:p w14:paraId="7B1C4522" w14:textId="77777777" w:rsidR="00054C7D" w:rsidRDefault="00054C7D" w:rsidP="00274003">
      <w:pPr>
        <w:pStyle w:val="Default"/>
        <w:rPr>
          <w:color w:val="auto"/>
          <w:sz w:val="22"/>
          <w:szCs w:val="22"/>
        </w:rPr>
      </w:pPr>
    </w:p>
    <w:p w14:paraId="069529DB" w14:textId="77777777" w:rsidR="00054C7D" w:rsidRPr="00274003" w:rsidRDefault="00054C7D" w:rsidP="00274003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 w:rsidRPr="00274003">
        <w:rPr>
          <w:b/>
          <w:bCs/>
          <w:color w:val="auto"/>
          <w:sz w:val="22"/>
          <w:szCs w:val="22"/>
        </w:rPr>
        <w:lastRenderedPageBreak/>
        <w:t>Előzmények érvénytelensége</w:t>
      </w:r>
    </w:p>
    <w:p w14:paraId="23737DD1" w14:textId="77777777" w:rsidR="00054C7D" w:rsidRDefault="00054C7D" w:rsidP="00274003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jelen Megállapodás a Felek közti teljes Megállapodást tartalmazza a Megállapodás tárgyának tekintetében. Minden korábbi, jelen Megállapodás tárgyára vonatkozó írott, vagy szóbeli Megállapodás, ajánlat vagy egyéb kommunikáció a Megállapodás aláírásakor semmissé válik.</w:t>
      </w:r>
    </w:p>
    <w:p w14:paraId="20AE8ACD" w14:textId="77777777" w:rsidR="00274003" w:rsidRDefault="00274003" w:rsidP="00274003">
      <w:pPr>
        <w:pStyle w:val="Default"/>
        <w:rPr>
          <w:color w:val="auto"/>
          <w:sz w:val="22"/>
          <w:szCs w:val="22"/>
        </w:rPr>
      </w:pPr>
    </w:p>
    <w:p w14:paraId="0D4DA2D6" w14:textId="77777777" w:rsidR="00B7526B" w:rsidRDefault="00B7526B" w:rsidP="00274003">
      <w:pPr>
        <w:pStyle w:val="Default"/>
        <w:rPr>
          <w:color w:val="auto"/>
          <w:sz w:val="22"/>
          <w:szCs w:val="22"/>
        </w:rPr>
      </w:pPr>
    </w:p>
    <w:p w14:paraId="630FA613" w14:textId="77777777" w:rsidR="00054C7D" w:rsidRPr="00274003" w:rsidRDefault="00054C7D" w:rsidP="00274003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Vis maior</w:t>
      </w:r>
    </w:p>
    <w:p w14:paraId="6A630B4E" w14:textId="77777777" w:rsidR="00054C7D" w:rsidRDefault="00054C7D" w:rsidP="00274003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 a teljesítés olyan </w:t>
      </w:r>
      <w:r w:rsidR="00BA26D7">
        <w:rPr>
          <w:color w:val="auto"/>
          <w:sz w:val="22"/>
          <w:szCs w:val="22"/>
        </w:rPr>
        <w:t xml:space="preserve">előre nem látható külső </w:t>
      </w:r>
      <w:r>
        <w:rPr>
          <w:color w:val="auto"/>
          <w:sz w:val="22"/>
          <w:szCs w:val="22"/>
        </w:rPr>
        <w:t>okból válik lehetetlenné, amelyért egyik Fél sem felelős, a Megállapodás az ok bekövetkeztével automatikusan nem szűnik meg. Az okról tudomást szerző Fél haladéktalanul köteles a másik Felet írásban értesíteni az ok és a körülmények lényegének ismertetésével, és 8 napon belül megkezdődő egyeztetést kezdeményezni. A Felek az egyeztetést 10 napon belül befejezik.</w:t>
      </w:r>
    </w:p>
    <w:p w14:paraId="74B59875" w14:textId="14AE647D" w:rsidR="00054C7D" w:rsidRDefault="00054C7D" w:rsidP="00274003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Felek az egyeztetésről jegyzőkönyvet vesznek fel, amelyben rögzítik az egyeztetés eredményeként a lehetetlenülési ok elhárítása érdekében létrejött megállapodásukat, az abban foglalt kötelezettségeiket, valamint – amennyiben az megállapítható – a lehetetlenülési ok ésszerű elhárításához szükséges időtartamot</w:t>
      </w:r>
      <w:r w:rsidR="00F022B8">
        <w:rPr>
          <w:color w:val="auto"/>
          <w:sz w:val="22"/>
          <w:szCs w:val="22"/>
        </w:rPr>
        <w:t>; illetve megegyeznek a Megállapodás szükség szerinti módosításáról, megszüntetéséről.</w:t>
      </w:r>
    </w:p>
    <w:p w14:paraId="75A6BAA2" w14:textId="77777777" w:rsidR="00274003" w:rsidRDefault="00274003" w:rsidP="00274003">
      <w:pPr>
        <w:pStyle w:val="Default"/>
        <w:rPr>
          <w:color w:val="auto"/>
          <w:sz w:val="22"/>
          <w:szCs w:val="22"/>
        </w:rPr>
      </w:pPr>
    </w:p>
    <w:p w14:paraId="766CB4B8" w14:textId="77777777" w:rsidR="00B7526B" w:rsidRDefault="00B7526B" w:rsidP="00274003">
      <w:pPr>
        <w:pStyle w:val="Default"/>
        <w:rPr>
          <w:color w:val="auto"/>
          <w:sz w:val="22"/>
          <w:szCs w:val="22"/>
        </w:rPr>
      </w:pPr>
    </w:p>
    <w:p w14:paraId="1852DC0E" w14:textId="77777777" w:rsidR="00054C7D" w:rsidRPr="00274003" w:rsidRDefault="00054C7D" w:rsidP="00274003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Nyilatkozatok</w:t>
      </w:r>
    </w:p>
    <w:p w14:paraId="3DD0BAA9" w14:textId="77777777" w:rsidR="00054C7D" w:rsidRDefault="00054C7D" w:rsidP="00274003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Felek ezúton biztosítják a másik Felet az alábbiakról:</w:t>
      </w:r>
    </w:p>
    <w:p w14:paraId="0B95BA5E" w14:textId="77777777" w:rsidR="00054C7D" w:rsidRDefault="00054C7D" w:rsidP="00573FBA">
      <w:pPr>
        <w:pStyle w:val="Default"/>
        <w:numPr>
          <w:ilvl w:val="0"/>
          <w:numId w:val="22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Törvényesen bejegyzett és a vonatkozó törvényeknek megfelelően működik, birtokában van a jelen Megállapodás előírásainak, feltételeinek, rendelkezéseinek teljesítéséhez szükséges jogosultságoknak, nem folyik ellene függőben lévő, fizetésképtelenségét érintő eljárás, és legjobb tudomása szerint nem áll fenn csődveszély.</w:t>
      </w:r>
    </w:p>
    <w:p w14:paraId="0A1B5AE1" w14:textId="77777777" w:rsidR="00054C7D" w:rsidRDefault="00573FBA" w:rsidP="00573FBA">
      <w:pPr>
        <w:pStyle w:val="Default"/>
        <w:numPr>
          <w:ilvl w:val="0"/>
          <w:numId w:val="22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</w:t>
      </w:r>
      <w:r w:rsidR="00054C7D">
        <w:rPr>
          <w:color w:val="auto"/>
          <w:sz w:val="22"/>
          <w:szCs w:val="22"/>
        </w:rPr>
        <w:t>elen Megállapodás keltekor a működéshez törvényileg megkívánt minden engedéllyel rendelkezik.</w:t>
      </w:r>
    </w:p>
    <w:p w14:paraId="567A1C17" w14:textId="77777777" w:rsidR="00054C7D" w:rsidRDefault="00054C7D" w:rsidP="00573FBA">
      <w:pPr>
        <w:pStyle w:val="Default"/>
        <w:numPr>
          <w:ilvl w:val="0"/>
          <w:numId w:val="22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Fél tudomása szerint nincs folyamatban ellene, és nem fenyegeti per, nem áll fenn követelés vagy folyik eljárás semmiféle bíróság, közigazgatási testület vagy törvényszék előtt, mely hátrányosan érintené a Felet jelen Megállapodásból eredő kötelezettségei teljesítésében, és </w:t>
      </w:r>
    </w:p>
    <w:p w14:paraId="25947A98" w14:textId="77777777" w:rsidR="00054C7D" w:rsidRDefault="00054C7D" w:rsidP="00573FBA">
      <w:pPr>
        <w:pStyle w:val="Default"/>
        <w:numPr>
          <w:ilvl w:val="0"/>
          <w:numId w:val="22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Jelen Megállapodás teljes társasági felhatalmazással köttetett, teljesíti a Féllel szemben támasztott jogi, érvényességi kötelezettségeket, és nem sért semmiféle, más megállapodásban foglalt rendelkezést</w:t>
      </w:r>
      <w:r w:rsidR="00573FB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vagy követ el mulasztást más megállapodás előírásaival szemben, mely megállapodásnak részese, vagy mely megállapodás rá, vagy érdekeltségére kötelezettségeket ró, valamint nem sért semmilyen törvényt.</w:t>
      </w:r>
    </w:p>
    <w:p w14:paraId="4C2FE3B2" w14:textId="0151D699" w:rsidR="00054C7D" w:rsidRDefault="00054C7D" w:rsidP="00573FBA">
      <w:pPr>
        <w:pStyle w:val="Default"/>
        <w:numPr>
          <w:ilvl w:val="1"/>
          <w:numId w:val="15"/>
        </w:numPr>
        <w:spacing w:before="120"/>
        <w:ind w:left="709"/>
        <w:jc w:val="both"/>
        <w:rPr>
          <w:color w:val="auto"/>
          <w:sz w:val="22"/>
          <w:szCs w:val="22"/>
        </w:rPr>
      </w:pPr>
      <w:r w:rsidRPr="00573FBA">
        <w:rPr>
          <w:color w:val="auto"/>
          <w:sz w:val="22"/>
          <w:szCs w:val="22"/>
        </w:rPr>
        <w:t xml:space="preserve">Amennyiben </w:t>
      </w:r>
      <w:r w:rsidR="00C06783">
        <w:rPr>
          <w:color w:val="auto"/>
          <w:sz w:val="22"/>
          <w:szCs w:val="22"/>
        </w:rPr>
        <w:t xml:space="preserve">valamely </w:t>
      </w:r>
      <w:r w:rsidRPr="00573FBA">
        <w:rPr>
          <w:color w:val="auto"/>
          <w:sz w:val="22"/>
          <w:szCs w:val="22"/>
        </w:rPr>
        <w:t>bíróság döntése szerint jelen Megállapodás bármely rendelkezése érvénytelen, semmis</w:t>
      </w:r>
      <w:r w:rsidR="00573FBA" w:rsidRPr="00573FBA">
        <w:rPr>
          <w:color w:val="auto"/>
          <w:sz w:val="22"/>
          <w:szCs w:val="22"/>
        </w:rPr>
        <w:t>,</w:t>
      </w:r>
      <w:r w:rsidRPr="00573FBA">
        <w:rPr>
          <w:color w:val="auto"/>
          <w:sz w:val="22"/>
          <w:szCs w:val="22"/>
        </w:rPr>
        <w:t xml:space="preserve"> vagy érvénybe nem léptethető, ez az érvénytelenség, semmisség vagy érvénybe léptethetetlenség kizárólag az adott rendelkezésre vonatkozik, nem érinti a teljes Megállapodást</w:t>
      </w:r>
      <w:r w:rsidR="00573FBA" w:rsidRPr="00573FBA">
        <w:rPr>
          <w:color w:val="auto"/>
          <w:sz w:val="22"/>
          <w:szCs w:val="22"/>
        </w:rPr>
        <w:t>,</w:t>
      </w:r>
      <w:r w:rsidRPr="00573FBA">
        <w:rPr>
          <w:color w:val="auto"/>
          <w:sz w:val="22"/>
          <w:szCs w:val="22"/>
        </w:rPr>
        <w:t xml:space="preserve"> vagy annak bármely egyéb rendelkezését, a Megállapodás összes többi rendelkezése hatályos és érvényben marad, hacsak Felek nem kötötték volna meg a Megállapodást az adott érvénytelen, semmis</w:t>
      </w:r>
      <w:r w:rsidR="00573FBA">
        <w:rPr>
          <w:color w:val="auto"/>
          <w:sz w:val="22"/>
          <w:szCs w:val="22"/>
        </w:rPr>
        <w:t>,</w:t>
      </w:r>
      <w:r w:rsidRPr="00573FBA">
        <w:rPr>
          <w:color w:val="auto"/>
          <w:sz w:val="22"/>
          <w:szCs w:val="22"/>
        </w:rPr>
        <w:t xml:space="preserve"> vagy érvénybe léptethetetlen rendelkezés hiányában.</w:t>
      </w:r>
    </w:p>
    <w:p w14:paraId="643F12A2" w14:textId="77777777" w:rsidR="00573FBA" w:rsidRDefault="00573FBA" w:rsidP="00573FBA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435DF3E6" w14:textId="77777777" w:rsidR="00B7526B" w:rsidRDefault="00B7526B" w:rsidP="00573FBA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06629E8B" w14:textId="77777777" w:rsidR="00B7526B" w:rsidRPr="00573FBA" w:rsidRDefault="00B7526B" w:rsidP="00573FBA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62BAAB10" w14:textId="77777777" w:rsidR="00054C7D" w:rsidRPr="00573FBA" w:rsidRDefault="00054C7D" w:rsidP="00573FBA">
      <w:pPr>
        <w:pStyle w:val="Default"/>
        <w:numPr>
          <w:ilvl w:val="0"/>
          <w:numId w:val="15"/>
        </w:numPr>
        <w:spacing w:before="7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Irányadó jog</w:t>
      </w:r>
      <w:r w:rsidR="00C06783">
        <w:rPr>
          <w:b/>
          <w:bCs/>
          <w:color w:val="auto"/>
          <w:sz w:val="22"/>
          <w:szCs w:val="22"/>
        </w:rPr>
        <w:t>, vitarendezés</w:t>
      </w:r>
    </w:p>
    <w:p w14:paraId="2E417954" w14:textId="4BF738BC" w:rsidR="00054C7D" w:rsidRDefault="00054C7D" w:rsidP="00573FBA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Felek jelen Megállapodásból eredő jogai és kötelezettségei tekintetében a vonatkozó REMIT rendeleten, REMIT Vhr</w:t>
      </w:r>
      <w:r w:rsidR="00F014F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-en kívül a magyar jog az irányadó.</w:t>
      </w:r>
    </w:p>
    <w:p w14:paraId="20D8504D" w14:textId="77777777" w:rsidR="00C06783" w:rsidRDefault="00C06783" w:rsidP="00573FBA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Felek megállapodnak abban, hogy minden a jelen megállapodással kapcsolatos vitájukat elsősorban békés úton tárgyalások útján rendeznek. A békés rendezésre irányuló tárgyalások eredménytelensége esetére kibontakozó jogvitájuk elbírálására magyar bíróság </w:t>
      </w:r>
      <w:r w:rsidR="00BA26D7">
        <w:rPr>
          <w:color w:val="auto"/>
          <w:sz w:val="22"/>
          <w:szCs w:val="22"/>
        </w:rPr>
        <w:t>kizárólagos joghatóságát, és a hatáskörrel rendelkező - KP székhelye szerint illetékes - bíróság kizárólagos illetékességét kötik ki</w:t>
      </w:r>
      <w:r>
        <w:rPr>
          <w:color w:val="auto"/>
          <w:sz w:val="22"/>
          <w:szCs w:val="22"/>
        </w:rPr>
        <w:t>.</w:t>
      </w:r>
    </w:p>
    <w:p w14:paraId="258D6A13" w14:textId="77777777" w:rsidR="00BD619D" w:rsidRDefault="00BD619D" w:rsidP="00573FBA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36BB2D8B" w14:textId="039A1AD4" w:rsidR="00054C7D" w:rsidRDefault="00054C7D" w:rsidP="00054C7D">
      <w:pPr>
        <w:pStyle w:val="Default"/>
        <w:spacing w:before="3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Jelen Megállapodás két (2) példányban készült, melyből cégszerű aláírást követően Feleket egy-egy (1-1) eredeti példány illeti meg.</w:t>
      </w:r>
    </w:p>
    <w:p w14:paraId="45CEF2BB" w14:textId="77777777" w:rsidR="00054C7D" w:rsidRDefault="00054C7D" w:rsidP="00054C7D">
      <w:pPr>
        <w:pStyle w:val="Default"/>
        <w:spacing w:before="313"/>
        <w:rPr>
          <w:color w:val="auto"/>
          <w:sz w:val="22"/>
          <w:szCs w:val="22"/>
        </w:rPr>
      </w:pPr>
    </w:p>
    <w:p w14:paraId="2F42C37B" w14:textId="77777777" w:rsidR="00054C7D" w:rsidRDefault="00054C7D" w:rsidP="00054C7D">
      <w:pPr>
        <w:pStyle w:val="Default"/>
        <w:rPr>
          <w:color w:val="auto"/>
          <w:sz w:val="22"/>
          <w:szCs w:val="22"/>
        </w:rPr>
      </w:pPr>
    </w:p>
    <w:p w14:paraId="2F520D77" w14:textId="77777777" w:rsidR="00054C7D" w:rsidRDefault="00054C7D" w:rsidP="00054C7D">
      <w:pPr>
        <w:pStyle w:val="Default"/>
        <w:spacing w:before="47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Dátum: </w:t>
      </w:r>
    </w:p>
    <w:p w14:paraId="79DB6884" w14:textId="77777777" w:rsidR="00054C7D" w:rsidRDefault="00BD619D" w:rsidP="00054C7D">
      <w:pPr>
        <w:pStyle w:val="Default"/>
        <w:spacing w:before="473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FGSZ Kereskedési Platform Kft</w:t>
      </w:r>
      <w:r w:rsidR="00054C7D">
        <w:rPr>
          <w:b/>
          <w:bCs/>
          <w:color w:val="auto"/>
          <w:sz w:val="22"/>
          <w:szCs w:val="22"/>
        </w:rPr>
        <w:t>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>Rendszerhasználó:</w:t>
      </w:r>
    </w:p>
    <w:p w14:paraId="71458B6F" w14:textId="21C23FB6" w:rsidR="00054C7D" w:rsidRDefault="00054C7D" w:rsidP="00054C7D">
      <w:pPr>
        <w:pStyle w:val="Default"/>
        <w:spacing w:before="47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Név:</w:t>
      </w:r>
      <w:r w:rsidR="00BD619D">
        <w:rPr>
          <w:color w:val="auto"/>
          <w:sz w:val="22"/>
          <w:szCs w:val="22"/>
        </w:rPr>
        <w:tab/>
      </w:r>
      <w:r w:rsidR="00AB04CA">
        <w:rPr>
          <w:color w:val="auto"/>
          <w:sz w:val="22"/>
          <w:szCs w:val="22"/>
        </w:rPr>
        <w:t>Terhes Kristóf Lajos</w:t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  <w:t>Név:</w:t>
      </w:r>
    </w:p>
    <w:p w14:paraId="1403085B" w14:textId="3AAB53C3" w:rsidR="00054C7D" w:rsidRDefault="00054C7D" w:rsidP="00BD619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Beosztás:</w:t>
      </w:r>
      <w:r w:rsidR="00AB04CA">
        <w:rPr>
          <w:color w:val="auto"/>
          <w:sz w:val="22"/>
          <w:szCs w:val="22"/>
        </w:rPr>
        <w:t xml:space="preserve"> ügyvezető igazgató</w:t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  <w:t>Beosztás:</w:t>
      </w:r>
    </w:p>
    <w:p w14:paraId="5364353E" w14:textId="2F2C194F" w:rsidR="00054C7D" w:rsidRDefault="00054C7D" w:rsidP="00054C7D">
      <w:pPr>
        <w:pStyle w:val="Default"/>
        <w:spacing w:before="47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Név:</w:t>
      </w:r>
      <w:r w:rsidR="00BD619D">
        <w:rPr>
          <w:color w:val="auto"/>
          <w:sz w:val="22"/>
          <w:szCs w:val="22"/>
        </w:rPr>
        <w:tab/>
      </w:r>
      <w:r w:rsidR="00A06600">
        <w:rPr>
          <w:color w:val="auto"/>
          <w:sz w:val="22"/>
          <w:szCs w:val="22"/>
        </w:rPr>
        <w:t>Rétfalvi Ákos</w:t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  <w:t>Név:</w:t>
      </w:r>
    </w:p>
    <w:p w14:paraId="465B6F7A" w14:textId="4E652D44" w:rsidR="00054C7D" w:rsidRDefault="00054C7D" w:rsidP="00BD619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Beosztás: </w:t>
      </w:r>
      <w:r w:rsidR="00AB04CA">
        <w:rPr>
          <w:color w:val="auto"/>
          <w:sz w:val="22"/>
          <w:szCs w:val="22"/>
        </w:rPr>
        <w:t>ügyvezető igazgató</w:t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</w:r>
      <w:r w:rsidR="00BD619D">
        <w:rPr>
          <w:color w:val="auto"/>
          <w:sz w:val="22"/>
          <w:szCs w:val="22"/>
        </w:rPr>
        <w:tab/>
        <w:t>Beosztás:</w:t>
      </w:r>
    </w:p>
    <w:p w14:paraId="3CD08100" w14:textId="1084A3A3" w:rsidR="00E528C4" w:rsidRDefault="00571721" w:rsidP="00054C7D"/>
    <w:sectPr w:rsidR="00E5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DA78F" w14:textId="77777777" w:rsidR="00571721" w:rsidRDefault="00571721" w:rsidP="004B6623">
      <w:pPr>
        <w:spacing w:line="240" w:lineRule="auto"/>
      </w:pPr>
      <w:r>
        <w:separator/>
      </w:r>
    </w:p>
  </w:endnote>
  <w:endnote w:type="continuationSeparator" w:id="0">
    <w:p w14:paraId="3CC2F15E" w14:textId="77777777" w:rsidR="00571721" w:rsidRDefault="00571721" w:rsidP="004B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9843" w14:textId="77777777" w:rsidR="00571721" w:rsidRDefault="00571721" w:rsidP="004B6623">
      <w:pPr>
        <w:spacing w:line="240" w:lineRule="auto"/>
      </w:pPr>
      <w:r>
        <w:separator/>
      </w:r>
    </w:p>
  </w:footnote>
  <w:footnote w:type="continuationSeparator" w:id="0">
    <w:p w14:paraId="76618D9E" w14:textId="77777777" w:rsidR="00571721" w:rsidRDefault="00571721" w:rsidP="004B6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A80"/>
    <w:multiLevelType w:val="multilevel"/>
    <w:tmpl w:val="E100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54148B"/>
    <w:multiLevelType w:val="hybridMultilevel"/>
    <w:tmpl w:val="77CAF9F8"/>
    <w:lvl w:ilvl="0" w:tplc="D8C22D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B6F88"/>
    <w:multiLevelType w:val="hybridMultilevel"/>
    <w:tmpl w:val="E3FE0DB6"/>
    <w:lvl w:ilvl="0" w:tplc="A1B2A4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526C15"/>
    <w:multiLevelType w:val="hybridMultilevel"/>
    <w:tmpl w:val="7F34602E"/>
    <w:lvl w:ilvl="0" w:tplc="6854B6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720675"/>
    <w:multiLevelType w:val="hybridMultilevel"/>
    <w:tmpl w:val="6512FE08"/>
    <w:lvl w:ilvl="0" w:tplc="E056D0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52428B"/>
    <w:multiLevelType w:val="hybridMultilevel"/>
    <w:tmpl w:val="068EDA9A"/>
    <w:lvl w:ilvl="0" w:tplc="078A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74C6"/>
    <w:multiLevelType w:val="hybridMultilevel"/>
    <w:tmpl w:val="0BA4F042"/>
    <w:lvl w:ilvl="0" w:tplc="4B58CFD0">
      <w:start w:val="1"/>
      <w:numFmt w:val="lowerLetter"/>
      <w:lvlText w:val="%1)"/>
      <w:lvlJc w:val="left"/>
      <w:pPr>
        <w:ind w:left="927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A40E09"/>
    <w:multiLevelType w:val="multilevel"/>
    <w:tmpl w:val="FB081D82"/>
    <w:lvl w:ilvl="0">
      <w:start w:val="1"/>
      <w:numFmt w:val="decimal"/>
      <w:pStyle w:val="FGSZ1Cambria"/>
      <w:lvlText w:val="%1."/>
      <w:lvlJc w:val="left"/>
      <w:pPr>
        <w:ind w:left="360" w:hanging="360"/>
      </w:pPr>
    </w:lvl>
    <w:lvl w:ilvl="1">
      <w:start w:val="1"/>
      <w:numFmt w:val="decimal"/>
      <w:pStyle w:val="FGSZ2Cambria"/>
      <w:lvlText w:val="%1.%2."/>
      <w:lvlJc w:val="left"/>
      <w:pPr>
        <w:ind w:left="792" w:hanging="432"/>
      </w:pPr>
    </w:lvl>
    <w:lvl w:ilvl="2">
      <w:start w:val="1"/>
      <w:numFmt w:val="decimal"/>
      <w:pStyle w:val="FGSZ3Cambria"/>
      <w:lvlText w:val="%1.%2.%3."/>
      <w:lvlJc w:val="left"/>
      <w:pPr>
        <w:ind w:left="1224" w:hanging="504"/>
      </w:pPr>
    </w:lvl>
    <w:lvl w:ilvl="3">
      <w:start w:val="1"/>
      <w:numFmt w:val="decimal"/>
      <w:pStyle w:val="FGSZ4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23278D"/>
    <w:multiLevelType w:val="hybridMultilevel"/>
    <w:tmpl w:val="4CA60DD6"/>
    <w:lvl w:ilvl="0" w:tplc="C24EAD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7F4D39"/>
    <w:multiLevelType w:val="multilevel"/>
    <w:tmpl w:val="662C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FGSZ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0D4DC0"/>
    <w:multiLevelType w:val="hybridMultilevel"/>
    <w:tmpl w:val="1130B93A"/>
    <w:lvl w:ilvl="0" w:tplc="697052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B325D0"/>
    <w:multiLevelType w:val="hybridMultilevel"/>
    <w:tmpl w:val="9FAAAEB0"/>
    <w:lvl w:ilvl="0" w:tplc="3BB041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5"/>
  </w:num>
  <w:num w:numId="8">
    <w:abstractNumId w:val="9"/>
  </w:num>
  <w:num w:numId="9">
    <w:abstractNumId w:val="9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4"/>
  </w:num>
  <w:num w:numId="17">
    <w:abstractNumId w:val="8"/>
  </w:num>
  <w:num w:numId="18">
    <w:abstractNumId w:val="6"/>
  </w:num>
  <w:num w:numId="19">
    <w:abstractNumId w:val="1"/>
  </w:num>
  <w:num w:numId="20">
    <w:abstractNumId w:val="10"/>
  </w:num>
  <w:num w:numId="21">
    <w:abstractNumId w:val="2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D"/>
    <w:rsid w:val="00041A39"/>
    <w:rsid w:val="00053CC3"/>
    <w:rsid w:val="00054C7D"/>
    <w:rsid w:val="001634FE"/>
    <w:rsid w:val="001A472C"/>
    <w:rsid w:val="001E343C"/>
    <w:rsid w:val="00242877"/>
    <w:rsid w:val="0024613E"/>
    <w:rsid w:val="00257E2D"/>
    <w:rsid w:val="00274003"/>
    <w:rsid w:val="00294466"/>
    <w:rsid w:val="002F61A8"/>
    <w:rsid w:val="00330950"/>
    <w:rsid w:val="00341046"/>
    <w:rsid w:val="0038085D"/>
    <w:rsid w:val="0038631C"/>
    <w:rsid w:val="003B5BE2"/>
    <w:rsid w:val="00441858"/>
    <w:rsid w:val="00455D91"/>
    <w:rsid w:val="004B6623"/>
    <w:rsid w:val="0052314A"/>
    <w:rsid w:val="00534935"/>
    <w:rsid w:val="00536BFB"/>
    <w:rsid w:val="00571721"/>
    <w:rsid w:val="00573FBA"/>
    <w:rsid w:val="00584087"/>
    <w:rsid w:val="005A6112"/>
    <w:rsid w:val="006844DA"/>
    <w:rsid w:val="007109D7"/>
    <w:rsid w:val="007C5D9C"/>
    <w:rsid w:val="008224A4"/>
    <w:rsid w:val="0082630C"/>
    <w:rsid w:val="00843A3C"/>
    <w:rsid w:val="008614F9"/>
    <w:rsid w:val="00877375"/>
    <w:rsid w:val="008B19BF"/>
    <w:rsid w:val="00943294"/>
    <w:rsid w:val="00951F5E"/>
    <w:rsid w:val="009B42A9"/>
    <w:rsid w:val="009C1675"/>
    <w:rsid w:val="00A06600"/>
    <w:rsid w:val="00A63B45"/>
    <w:rsid w:val="00A875A9"/>
    <w:rsid w:val="00AB04CA"/>
    <w:rsid w:val="00AB6B3C"/>
    <w:rsid w:val="00B40099"/>
    <w:rsid w:val="00B7526B"/>
    <w:rsid w:val="00BA26D7"/>
    <w:rsid w:val="00BD0DE1"/>
    <w:rsid w:val="00BD619D"/>
    <w:rsid w:val="00C06783"/>
    <w:rsid w:val="00CB4D4B"/>
    <w:rsid w:val="00CC6C75"/>
    <w:rsid w:val="00CD7E44"/>
    <w:rsid w:val="00D97F32"/>
    <w:rsid w:val="00E311A5"/>
    <w:rsid w:val="00ED691B"/>
    <w:rsid w:val="00EE0628"/>
    <w:rsid w:val="00EF0F46"/>
    <w:rsid w:val="00F014F9"/>
    <w:rsid w:val="00F022B8"/>
    <w:rsid w:val="00F04AE6"/>
    <w:rsid w:val="00FD7C29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F2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7F32"/>
    <w:pPr>
      <w:spacing w:after="0"/>
      <w:jc w:val="both"/>
    </w:pPr>
    <w:rPr>
      <w:rFonts w:ascii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D97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D97F32"/>
    <w:pPr>
      <w:keepNext/>
      <w:spacing w:before="240" w:after="60" w:line="240" w:lineRule="auto"/>
      <w:jc w:val="left"/>
      <w:outlineLvl w:val="1"/>
    </w:pPr>
    <w:rPr>
      <w:rFonts w:eastAsiaTheme="majorEastAsia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97F32"/>
    <w:pPr>
      <w:keepNext/>
      <w:spacing w:before="240" w:after="60" w:line="240" w:lineRule="auto"/>
      <w:jc w:val="left"/>
      <w:outlineLvl w:val="2"/>
    </w:pPr>
    <w:rPr>
      <w:rFonts w:eastAsiaTheme="majorEastAsia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97F32"/>
    <w:pPr>
      <w:keepNext/>
      <w:spacing w:before="240" w:after="60" w:line="240" w:lineRule="auto"/>
      <w:jc w:val="left"/>
      <w:outlineLvl w:val="3"/>
    </w:pPr>
    <w:rPr>
      <w:rFonts w:eastAsiaTheme="majorEastAsia" w:cs="Arial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97F32"/>
    <w:pPr>
      <w:spacing w:before="240" w:after="60" w:line="240" w:lineRule="auto"/>
      <w:jc w:val="left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D97F32"/>
    <w:pPr>
      <w:spacing w:before="240" w:after="60" w:line="240" w:lineRule="auto"/>
      <w:jc w:val="left"/>
      <w:outlineLvl w:val="5"/>
    </w:pPr>
    <w:rPr>
      <w:rFonts w:eastAsia="Times New Roman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trzsszveg">
    <w:name w:val="Szab. törzsszöveg"/>
    <w:link w:val="SzabtrzsszvegChar"/>
    <w:qFormat/>
    <w:rsid w:val="00D97F32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D97F32"/>
    <w:rPr>
      <w:rFonts w:ascii="Arial" w:eastAsia="Arial" w:hAnsi="Arial" w:cs="Arial"/>
    </w:rPr>
  </w:style>
  <w:style w:type="paragraph" w:customStyle="1" w:styleId="Szablyzatalcm">
    <w:name w:val="Szabályzat alcím"/>
    <w:basedOn w:val="Szabtrzsszveg"/>
    <w:link w:val="SzablyzatalcmChar"/>
    <w:uiPriority w:val="1"/>
    <w:qFormat/>
    <w:rsid w:val="00D97F32"/>
    <w:pPr>
      <w:jc w:val="center"/>
    </w:pPr>
  </w:style>
  <w:style w:type="character" w:customStyle="1" w:styleId="SzablyzatalcmChar">
    <w:name w:val="Szabályzat alcím Char"/>
    <w:link w:val="Szablyzatalcm"/>
    <w:uiPriority w:val="1"/>
    <w:rsid w:val="00D97F32"/>
    <w:rPr>
      <w:rFonts w:ascii="Arial" w:eastAsia="Arial" w:hAnsi="Arial" w:cs="Arial"/>
    </w:rPr>
  </w:style>
  <w:style w:type="paragraph" w:customStyle="1" w:styleId="Szablyzatalrsisor">
    <w:name w:val="Szabályzat aláírási sor"/>
    <w:basedOn w:val="Norml"/>
    <w:link w:val="SzablyzatalrsisorChar"/>
    <w:uiPriority w:val="1"/>
    <w:qFormat/>
    <w:rsid w:val="00D97F32"/>
    <w:pPr>
      <w:tabs>
        <w:tab w:val="center" w:pos="1985"/>
        <w:tab w:val="center" w:pos="6946"/>
      </w:tabs>
      <w:ind w:left="1985" w:hanging="1985"/>
      <w:jc w:val="left"/>
    </w:pPr>
    <w:rPr>
      <w:rFonts w:eastAsia="Arial"/>
      <w:i/>
    </w:rPr>
  </w:style>
  <w:style w:type="character" w:customStyle="1" w:styleId="SzablyzatalrsisorChar">
    <w:name w:val="Szabályzat aláírási sor Char"/>
    <w:basedOn w:val="Bekezdsalapbettpusa"/>
    <w:link w:val="Szablyzatalrsisor"/>
    <w:uiPriority w:val="1"/>
    <w:rsid w:val="00D97F32"/>
    <w:rPr>
      <w:rFonts w:ascii="Arial" w:eastAsia="Arial" w:hAnsi="Arial"/>
      <w:i/>
    </w:rPr>
  </w:style>
  <w:style w:type="paragraph" w:customStyle="1" w:styleId="Sznezetthttr">
    <w:name w:val="Színezett háttér"/>
    <w:basedOn w:val="Norml"/>
    <w:link w:val="SznezetthttrChar"/>
    <w:qFormat/>
    <w:rsid w:val="00D97F32"/>
    <w:pPr>
      <w:jc w:val="left"/>
    </w:pPr>
    <w:rPr>
      <w:rFonts w:eastAsia="Arial" w:cs="Arial"/>
      <w:shd w:val="clear" w:color="auto" w:fill="BFBFBF" w:themeFill="background1" w:themeFillShade="BF"/>
    </w:rPr>
  </w:style>
  <w:style w:type="character" w:customStyle="1" w:styleId="SznezetthttrChar">
    <w:name w:val="Színezett háttér Char"/>
    <w:basedOn w:val="SzabtrzsszvegChar"/>
    <w:link w:val="Sznezetthttr"/>
    <w:rsid w:val="00D97F32"/>
    <w:rPr>
      <w:rFonts w:ascii="Arial" w:eastAsia="Arial" w:hAnsi="Arial" w:cs="Arial"/>
    </w:rPr>
  </w:style>
  <w:style w:type="paragraph" w:customStyle="1" w:styleId="SzablyzatCmsor6">
    <w:name w:val="Szabályzat Címsor 6"/>
    <w:basedOn w:val="Norml"/>
    <w:next w:val="Szabtrzsszveg"/>
    <w:link w:val="SzablyzatCmsor6Char"/>
    <w:qFormat/>
    <w:rsid w:val="00D97F32"/>
    <w:pPr>
      <w:numPr>
        <w:ilvl w:val="5"/>
      </w:numPr>
      <w:spacing w:before="240" w:after="240" w:line="240" w:lineRule="auto"/>
      <w:jc w:val="left"/>
    </w:pPr>
    <w:rPr>
      <w:rFonts w:eastAsia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Bekezdsalapbettpusa"/>
    <w:link w:val="SzablyzatCmsor6"/>
    <w:rsid w:val="00D97F32"/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7">
    <w:name w:val="Szabályzat Címsor 7"/>
    <w:next w:val="Szabtrzsszveg"/>
    <w:link w:val="SzablyzatCmsor7Char"/>
    <w:qFormat/>
    <w:rsid w:val="00D97F32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7Char">
    <w:name w:val="Szabályzat Címsor 7 Char"/>
    <w:basedOn w:val="SzablyzatCmsor6Char"/>
    <w:link w:val="SzablyzatCmsor7"/>
    <w:rsid w:val="00D97F32"/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D97F32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D97F32"/>
    <w:rPr>
      <w:rFonts w:ascii="Arial" w:eastAsia="Arial" w:hAnsi="Arial" w:cs="Arial"/>
      <w:b/>
    </w:rPr>
  </w:style>
  <w:style w:type="paragraph" w:customStyle="1" w:styleId="lfej-cmsor">
    <w:name w:val="Élőfej - címsor"/>
    <w:basedOn w:val="lfej"/>
    <w:link w:val="lfej-cmsorChar"/>
    <w:qFormat/>
    <w:rsid w:val="00D97F32"/>
    <w:pPr>
      <w:pBdr>
        <w:bottom w:val="single" w:sz="4" w:space="1" w:color="auto"/>
      </w:pBdr>
      <w:tabs>
        <w:tab w:val="clear" w:pos="4536"/>
      </w:tabs>
      <w:spacing w:before="60" w:after="40"/>
      <w:jc w:val="right"/>
    </w:pPr>
    <w:rPr>
      <w:rFonts w:eastAsia="Times New Roman" w:cs="Arial"/>
      <w:b/>
    </w:rPr>
  </w:style>
  <w:style w:type="character" w:customStyle="1" w:styleId="lfej-cmsorChar">
    <w:name w:val="Élőfej - címsor Char"/>
    <w:basedOn w:val="lfejChar"/>
    <w:link w:val="lfej-cmsor"/>
    <w:rsid w:val="00D97F32"/>
    <w:rPr>
      <w:rFonts w:ascii="Arial" w:eastAsia="Times New Roman" w:hAnsi="Arial" w:cs="Arial"/>
      <w:b/>
    </w:rPr>
  </w:style>
  <w:style w:type="paragraph" w:styleId="lfej">
    <w:name w:val="header"/>
    <w:basedOn w:val="Norml"/>
    <w:link w:val="lfejChar"/>
    <w:uiPriority w:val="99"/>
    <w:unhideWhenUsed/>
    <w:rsid w:val="00D97F3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F32"/>
  </w:style>
  <w:style w:type="paragraph" w:customStyle="1" w:styleId="lfej-felssor">
    <w:name w:val="Élőfej - felső sor"/>
    <w:basedOn w:val="lfej"/>
    <w:link w:val="lfej-felssorChar"/>
    <w:qFormat/>
    <w:rsid w:val="00D97F32"/>
    <w:pPr>
      <w:tabs>
        <w:tab w:val="clear" w:pos="4536"/>
        <w:tab w:val="left" w:pos="1080"/>
        <w:tab w:val="left" w:pos="4650"/>
      </w:tabs>
      <w:spacing w:before="40" w:after="40"/>
    </w:pPr>
    <w:rPr>
      <w:rFonts w:eastAsia="Times New Roman" w:cs="Arial"/>
      <w:b/>
      <w:noProof/>
    </w:rPr>
  </w:style>
  <w:style w:type="character" w:customStyle="1" w:styleId="lfej-felssorChar">
    <w:name w:val="Élőfej - felső sor Char"/>
    <w:basedOn w:val="lfejChar"/>
    <w:link w:val="lfej-felssor"/>
    <w:rsid w:val="00D97F32"/>
    <w:rPr>
      <w:rFonts w:ascii="Arial" w:eastAsia="Times New Roman" w:hAnsi="Arial" w:cs="Arial"/>
      <w:b/>
      <w:noProof/>
    </w:rPr>
  </w:style>
  <w:style w:type="paragraph" w:customStyle="1" w:styleId="Lblc">
    <w:name w:val="Lábléc"/>
    <w:basedOn w:val="llb"/>
    <w:link w:val="LblcChar"/>
    <w:qFormat/>
    <w:rsid w:val="00D97F32"/>
    <w:pPr>
      <w:pBdr>
        <w:top w:val="single" w:sz="4" w:space="1" w:color="auto"/>
      </w:pBdr>
      <w:spacing w:before="120" w:after="120"/>
      <w:jc w:val="center"/>
    </w:pPr>
    <w:rPr>
      <w:rFonts w:eastAsia="Times New Roman" w:cs="Arial"/>
      <w:sz w:val="20"/>
    </w:rPr>
  </w:style>
  <w:style w:type="character" w:customStyle="1" w:styleId="LblcChar">
    <w:name w:val="Lábléc Char"/>
    <w:basedOn w:val="llbChar"/>
    <w:link w:val="Lblc"/>
    <w:rsid w:val="00D97F32"/>
    <w:rPr>
      <w:rFonts w:ascii="Arial" w:eastAsia="Times New Roman" w:hAnsi="Arial" w:cs="Arial"/>
      <w:sz w:val="20"/>
    </w:rPr>
  </w:style>
  <w:style w:type="paragraph" w:styleId="llb">
    <w:name w:val="footer"/>
    <w:basedOn w:val="Norml"/>
    <w:link w:val="llbChar"/>
    <w:uiPriority w:val="99"/>
    <w:unhideWhenUsed/>
    <w:rsid w:val="00D97F3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F32"/>
  </w:style>
  <w:style w:type="paragraph" w:customStyle="1" w:styleId="Magyarzszveg">
    <w:name w:val="Magyarázó szöveg"/>
    <w:basedOn w:val="Norml"/>
    <w:link w:val="MagyarzszvegChar"/>
    <w:qFormat/>
    <w:rsid w:val="00D97F32"/>
    <w:pPr>
      <w:spacing w:line="240" w:lineRule="auto"/>
    </w:pPr>
    <w:rPr>
      <w:rFonts w:eastAsia="Times New Roman" w:cs="Arial"/>
      <w:i/>
      <w:iCs/>
      <w:snapToGrid w:val="0"/>
      <w:color w:val="FF0000"/>
      <w:sz w:val="18"/>
    </w:rPr>
  </w:style>
  <w:style w:type="character" w:customStyle="1" w:styleId="MagyarzszvegChar">
    <w:name w:val="Magyarázó szöveg Char"/>
    <w:basedOn w:val="Bekezdsalapbettpusa"/>
    <w:link w:val="Magyarzszveg"/>
    <w:rsid w:val="00D97F32"/>
    <w:rPr>
      <w:rFonts w:ascii="Arial" w:eastAsia="Times New Roman" w:hAnsi="Arial" w:cs="Arial"/>
      <w:i/>
      <w:iCs/>
      <w:snapToGrid w:val="0"/>
      <w:color w:val="FF0000"/>
      <w:sz w:val="18"/>
    </w:rPr>
  </w:style>
  <w:style w:type="paragraph" w:customStyle="1" w:styleId="FGSZ1">
    <w:name w:val="FGSZ_1"/>
    <w:basedOn w:val="Norml"/>
    <w:next w:val="Norml"/>
    <w:link w:val="FGSZ1Char"/>
    <w:qFormat/>
    <w:rsid w:val="00D97F32"/>
    <w:pPr>
      <w:keepNext/>
      <w:spacing w:before="240" w:after="240" w:line="240" w:lineRule="auto"/>
      <w:jc w:val="left"/>
    </w:pPr>
    <w:rPr>
      <w:rFonts w:eastAsia="Times New Roman" w:cs="Arial"/>
      <w:b/>
      <w:bCs/>
      <w:caps/>
      <w:noProof/>
      <w:sz w:val="28"/>
      <w:szCs w:val="28"/>
    </w:rPr>
  </w:style>
  <w:style w:type="character" w:customStyle="1" w:styleId="FGSZ1Char">
    <w:name w:val="FGSZ_1 Char"/>
    <w:basedOn w:val="Bekezdsalapbettpusa"/>
    <w:link w:val="FGSZ1"/>
    <w:rsid w:val="00D97F32"/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tlus1">
    <w:name w:val="Stílus1"/>
    <w:basedOn w:val="Norml"/>
    <w:next w:val="Norml"/>
    <w:qFormat/>
    <w:rsid w:val="00D97F32"/>
    <w:pPr>
      <w:keepNext/>
      <w:spacing w:before="240" w:after="240" w:line="240" w:lineRule="auto"/>
      <w:jc w:val="left"/>
    </w:pPr>
    <w:rPr>
      <w:rFonts w:eastAsia="Arial" w:cs="Arial"/>
      <w:b/>
      <w:bCs/>
      <w:noProof/>
      <w:sz w:val="28"/>
      <w:szCs w:val="28"/>
    </w:rPr>
  </w:style>
  <w:style w:type="paragraph" w:customStyle="1" w:styleId="FGSZ31">
    <w:name w:val="FGSZ_3_1"/>
    <w:basedOn w:val="Cmsor3"/>
    <w:link w:val="FGSZ31Char"/>
    <w:qFormat/>
    <w:rsid w:val="00D97F32"/>
    <w:pPr>
      <w:numPr>
        <w:ilvl w:val="2"/>
        <w:numId w:val="9"/>
      </w:numPr>
    </w:pPr>
    <w:rPr>
      <w:rFonts w:ascii="Calibri Light" w:eastAsia="Times New Roman" w:hAnsi="Calibri Light"/>
      <w:noProof/>
      <w:sz w:val="24"/>
      <w:szCs w:val="24"/>
    </w:rPr>
  </w:style>
  <w:style w:type="character" w:customStyle="1" w:styleId="FGSZ31Char">
    <w:name w:val="FGSZ_3_1 Char"/>
    <w:basedOn w:val="Bekezdsalapbettpusa"/>
    <w:link w:val="FGSZ31"/>
    <w:rsid w:val="00D97F32"/>
    <w:rPr>
      <w:rFonts w:ascii="Calibri Light" w:eastAsia="Times New Roman" w:hAnsi="Calibri Light" w:cs="Arial"/>
      <w:b/>
      <w:bCs/>
      <w:noProof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D97F32"/>
    <w:rPr>
      <w:rFonts w:ascii="Arial" w:eastAsiaTheme="majorEastAsia" w:hAnsi="Arial" w:cs="Arial"/>
      <w:b/>
      <w:bCs/>
      <w:sz w:val="26"/>
      <w:szCs w:val="26"/>
    </w:rPr>
  </w:style>
  <w:style w:type="paragraph" w:customStyle="1" w:styleId="FGSZ21">
    <w:name w:val="FGSZ_2_1"/>
    <w:basedOn w:val="FGSZ11"/>
    <w:link w:val="FGSZ21Char"/>
    <w:autoRedefine/>
    <w:qFormat/>
    <w:rsid w:val="00D97F32"/>
  </w:style>
  <w:style w:type="character" w:customStyle="1" w:styleId="FGSZ21Char">
    <w:name w:val="FGSZ_2_1 Char"/>
    <w:basedOn w:val="Bekezdsalapbettpusa"/>
    <w:link w:val="FGSZ21"/>
    <w:rsid w:val="00D97F32"/>
    <w:rPr>
      <w:rFonts w:ascii="Calibri Light" w:eastAsia="Arial" w:hAnsi="Calibri Light" w:cs="Arial"/>
      <w:b/>
      <w:caps/>
      <w:noProof/>
      <w:sz w:val="28"/>
      <w:szCs w:val="28"/>
    </w:rPr>
  </w:style>
  <w:style w:type="paragraph" w:customStyle="1" w:styleId="FGSZ11">
    <w:name w:val="FGSZ_1_1"/>
    <w:basedOn w:val="Cmsor1"/>
    <w:link w:val="FGSZ11Char"/>
    <w:qFormat/>
    <w:rsid w:val="00D97F32"/>
    <w:pPr>
      <w:spacing w:before="240" w:after="240" w:line="240" w:lineRule="auto"/>
      <w:ind w:left="360" w:hanging="360"/>
      <w:jc w:val="left"/>
    </w:pPr>
    <w:rPr>
      <w:rFonts w:ascii="Calibri Light" w:eastAsia="Arial" w:hAnsi="Calibri Light" w:cs="Arial"/>
      <w:bCs w:val="0"/>
      <w:caps/>
      <w:noProof/>
      <w:color w:val="auto"/>
    </w:rPr>
  </w:style>
  <w:style w:type="character" w:customStyle="1" w:styleId="FGSZ11Char">
    <w:name w:val="FGSZ_1_1 Char"/>
    <w:basedOn w:val="ListaszerbekezdsChar"/>
    <w:link w:val="FGSZ11"/>
    <w:rsid w:val="00D97F32"/>
    <w:rPr>
      <w:rFonts w:ascii="Calibri Light" w:eastAsia="Arial" w:hAnsi="Calibri Light" w:cs="Arial"/>
      <w:b/>
      <w:caps/>
      <w:noProof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D97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GSZ41">
    <w:name w:val="FGSZ_4_1"/>
    <w:basedOn w:val="Cmsor4"/>
    <w:link w:val="FGSZ41Char"/>
    <w:qFormat/>
    <w:rsid w:val="00D97F32"/>
    <w:pPr>
      <w:numPr>
        <w:ilvl w:val="3"/>
        <w:numId w:val="5"/>
      </w:numPr>
    </w:pPr>
    <w:rPr>
      <w:rFonts w:eastAsia="Times New Roman"/>
      <w:b w:val="0"/>
      <w:noProof/>
      <w:sz w:val="24"/>
    </w:rPr>
  </w:style>
  <w:style w:type="character" w:customStyle="1" w:styleId="FGSZ41Char">
    <w:name w:val="FGSZ_4_1 Char"/>
    <w:basedOn w:val="FGSZ31Char"/>
    <w:link w:val="FGSZ41"/>
    <w:rsid w:val="00D97F32"/>
    <w:rPr>
      <w:rFonts w:ascii="Arial" w:eastAsia="Times New Roman" w:hAnsi="Arial" w:cs="Arial"/>
      <w:b w:val="0"/>
      <w:bCs/>
      <w:noProof/>
      <w:sz w:val="24"/>
      <w:szCs w:val="28"/>
    </w:rPr>
  </w:style>
  <w:style w:type="character" w:customStyle="1" w:styleId="Cmsor4Char">
    <w:name w:val="Címsor 4 Char"/>
    <w:basedOn w:val="Bekezdsalapbettpusa"/>
    <w:link w:val="Cmsor4"/>
    <w:rsid w:val="00D97F32"/>
    <w:rPr>
      <w:rFonts w:ascii="Arial" w:eastAsiaTheme="majorEastAsia" w:hAnsi="Arial" w:cs="Arial"/>
      <w:b/>
      <w:bCs/>
      <w:sz w:val="28"/>
      <w:szCs w:val="28"/>
    </w:rPr>
  </w:style>
  <w:style w:type="paragraph" w:customStyle="1" w:styleId="FGSZjtrzs">
    <w:name w:val="FGSZ_Új_törzs"/>
    <w:basedOn w:val="Szabtrzsszveg"/>
    <w:link w:val="FGSZjtrzsChar"/>
    <w:qFormat/>
    <w:rsid w:val="00D97F32"/>
    <w:rPr>
      <w:rFonts w:ascii="Calibri Light" w:hAnsi="Calibri Light"/>
      <w:snapToGrid w:val="0"/>
    </w:rPr>
  </w:style>
  <w:style w:type="character" w:customStyle="1" w:styleId="FGSZjtrzsChar">
    <w:name w:val="FGSZ_Új_törzs Char"/>
    <w:basedOn w:val="SzabtrzsszvegChar"/>
    <w:link w:val="FGSZjtrzs"/>
    <w:rsid w:val="00D97F32"/>
    <w:rPr>
      <w:rFonts w:ascii="Calibri Light" w:eastAsia="Arial" w:hAnsi="Calibri Light" w:cs="Arial"/>
      <w:snapToGrid w:val="0"/>
    </w:rPr>
  </w:style>
  <w:style w:type="paragraph" w:customStyle="1" w:styleId="FGSZ1Cambria">
    <w:name w:val="FGSZ_1_Cambria"/>
    <w:basedOn w:val="Cmsor1"/>
    <w:link w:val="FGSZ1CambriaChar"/>
    <w:qFormat/>
    <w:rsid w:val="00D97F32"/>
    <w:pPr>
      <w:numPr>
        <w:numId w:val="13"/>
      </w:numPr>
    </w:pPr>
    <w:rPr>
      <w:rFonts w:ascii="Calibri Light" w:hAnsi="Calibri Light"/>
      <w:caps/>
    </w:rPr>
  </w:style>
  <w:style w:type="character" w:customStyle="1" w:styleId="FGSZ1CambriaChar">
    <w:name w:val="FGSZ_1_Cambria Char"/>
    <w:basedOn w:val="Cmsor1Char"/>
    <w:link w:val="FGSZ1Cambria"/>
    <w:rsid w:val="00D97F32"/>
    <w:rPr>
      <w:rFonts w:ascii="Calibri Light" w:eastAsiaTheme="majorEastAsia" w:hAnsi="Calibri Light" w:cstheme="majorBidi"/>
      <w:b/>
      <w:bCs/>
      <w:caps/>
      <w:color w:val="365F91" w:themeColor="accent1" w:themeShade="BF"/>
      <w:sz w:val="28"/>
      <w:szCs w:val="28"/>
    </w:rPr>
  </w:style>
  <w:style w:type="paragraph" w:customStyle="1" w:styleId="FGSZ2Cambria">
    <w:name w:val="FGSZ_2_Cambria"/>
    <w:basedOn w:val="Cmsor2"/>
    <w:link w:val="FGSZ2CambriaChar"/>
    <w:qFormat/>
    <w:rsid w:val="00D97F32"/>
    <w:pPr>
      <w:numPr>
        <w:ilvl w:val="1"/>
        <w:numId w:val="13"/>
      </w:numPr>
    </w:pPr>
    <w:rPr>
      <w:rFonts w:ascii="Calibri Light" w:eastAsia="Times New Roman" w:hAnsi="Calibri Light"/>
      <w:i w:val="0"/>
    </w:rPr>
  </w:style>
  <w:style w:type="character" w:customStyle="1" w:styleId="FGSZ2CambriaChar">
    <w:name w:val="FGSZ_2_Cambria Char"/>
    <w:basedOn w:val="Cmsor2Char"/>
    <w:link w:val="FGSZ2Cambria"/>
    <w:rsid w:val="00D97F32"/>
    <w:rPr>
      <w:rFonts w:ascii="Calibri Light" w:eastAsia="Times New Roman" w:hAnsi="Calibri Light" w:cs="Arial"/>
      <w:b/>
      <w:bCs/>
      <w:i w:val="0"/>
      <w:i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D97F32"/>
    <w:rPr>
      <w:rFonts w:ascii="Arial" w:eastAsiaTheme="majorEastAsia" w:hAnsi="Arial" w:cs="Arial"/>
      <w:b/>
      <w:bCs/>
      <w:i/>
      <w:iCs/>
      <w:sz w:val="28"/>
      <w:szCs w:val="28"/>
    </w:rPr>
  </w:style>
  <w:style w:type="paragraph" w:customStyle="1" w:styleId="FGSZ3Cambria">
    <w:name w:val="FGSZ_3_Cambria"/>
    <w:basedOn w:val="Cmsor3"/>
    <w:link w:val="FGSZ3CambriaChar"/>
    <w:qFormat/>
    <w:rsid w:val="00D97F32"/>
    <w:pPr>
      <w:numPr>
        <w:ilvl w:val="2"/>
        <w:numId w:val="13"/>
      </w:numPr>
    </w:pPr>
    <w:rPr>
      <w:rFonts w:ascii="Calibri Light" w:eastAsia="Times New Roman" w:hAnsi="Calibri Light"/>
      <w:b w:val="0"/>
      <w:sz w:val="24"/>
      <w:szCs w:val="24"/>
    </w:rPr>
  </w:style>
  <w:style w:type="character" w:customStyle="1" w:styleId="FGSZ3CambriaChar">
    <w:name w:val="FGSZ_3_Cambria Char"/>
    <w:basedOn w:val="Cmsor3Char"/>
    <w:link w:val="FGSZ3Cambria"/>
    <w:rsid w:val="00D97F32"/>
    <w:rPr>
      <w:rFonts w:ascii="Calibri Light" w:eastAsia="Times New Roman" w:hAnsi="Calibri Light" w:cs="Arial"/>
      <w:b w:val="0"/>
      <w:bCs/>
      <w:sz w:val="24"/>
      <w:szCs w:val="24"/>
    </w:rPr>
  </w:style>
  <w:style w:type="paragraph" w:customStyle="1" w:styleId="FGSZ4Cambria">
    <w:name w:val="FGSZ_4_Cambria"/>
    <w:basedOn w:val="Cmsor4"/>
    <w:link w:val="FGSZ4CambriaChar"/>
    <w:qFormat/>
    <w:rsid w:val="00D97F32"/>
    <w:pPr>
      <w:ind w:left="1728" w:hanging="648"/>
    </w:pPr>
    <w:rPr>
      <w:rFonts w:ascii="Calibri Light" w:eastAsia="Times New Roman" w:hAnsi="Calibri Light"/>
      <w:b w:val="0"/>
      <w:sz w:val="24"/>
      <w:szCs w:val="24"/>
    </w:rPr>
  </w:style>
  <w:style w:type="character" w:customStyle="1" w:styleId="FGSZ4CambriaChar">
    <w:name w:val="FGSZ_4_Cambria Char"/>
    <w:basedOn w:val="Cmsor4Char"/>
    <w:link w:val="FGSZ4Cambria"/>
    <w:rsid w:val="00D97F32"/>
    <w:rPr>
      <w:rFonts w:ascii="Calibri Light" w:eastAsia="Times New Roman" w:hAnsi="Calibri Light" w:cs="Arial"/>
      <w:b w:val="0"/>
      <w:bCs/>
      <w:sz w:val="24"/>
      <w:szCs w:val="24"/>
    </w:rPr>
  </w:style>
  <w:style w:type="paragraph" w:customStyle="1" w:styleId="FGSZjfelsorols">
    <w:name w:val="FGSZ_Új_felsorolás"/>
    <w:basedOn w:val="Szabtrzsszveg"/>
    <w:link w:val="FGSZjfelsorolsChar"/>
    <w:qFormat/>
    <w:rsid w:val="00D97F32"/>
    <w:pPr>
      <w:ind w:left="720" w:hanging="360"/>
    </w:pPr>
    <w:rPr>
      <w:rFonts w:ascii="Calibri Light" w:hAnsi="Calibri Light"/>
    </w:rPr>
  </w:style>
  <w:style w:type="character" w:customStyle="1" w:styleId="FGSZjfelsorolsChar">
    <w:name w:val="FGSZ_Új_felsorolás Char"/>
    <w:basedOn w:val="SzabtrzsszvegChar"/>
    <w:link w:val="FGSZjfelsorols"/>
    <w:rsid w:val="00D97F32"/>
    <w:rPr>
      <w:rFonts w:ascii="Calibri Light" w:eastAsia="Arial" w:hAnsi="Calibri Light" w:cs="Arial"/>
    </w:rPr>
  </w:style>
  <w:style w:type="paragraph" w:customStyle="1" w:styleId="FGSZTartalomCalibri">
    <w:name w:val="FGSZ_Tartalom_Calibri"/>
    <w:basedOn w:val="TJ2"/>
    <w:link w:val="FGSZTartalomCalibriChar"/>
    <w:qFormat/>
    <w:rsid w:val="00D97F32"/>
    <w:rPr>
      <w:rFonts w:ascii="Calibri Light" w:hAnsi="Calibri Light"/>
      <w:sz w:val="20"/>
      <w:szCs w:val="20"/>
    </w:rPr>
  </w:style>
  <w:style w:type="character" w:customStyle="1" w:styleId="FGSZTartalomCalibriChar">
    <w:name w:val="FGSZ_Tartalom_Calibri Char"/>
    <w:basedOn w:val="TJ2Char"/>
    <w:link w:val="FGSZTartalomCalibri"/>
    <w:rsid w:val="00D97F32"/>
    <w:rPr>
      <w:rFonts w:ascii="Calibri Light" w:hAnsi="Calibri Light"/>
      <w:noProof/>
      <w:sz w:val="20"/>
      <w:szCs w:val="20"/>
    </w:rPr>
  </w:style>
  <w:style w:type="paragraph" w:styleId="TJ2">
    <w:name w:val="toc 2"/>
    <w:basedOn w:val="Norml"/>
    <w:next w:val="Norml"/>
    <w:link w:val="TJ2Char"/>
    <w:autoRedefine/>
    <w:uiPriority w:val="39"/>
    <w:unhideWhenUsed/>
    <w:qFormat/>
    <w:rsid w:val="00D97F32"/>
    <w:pPr>
      <w:tabs>
        <w:tab w:val="left" w:pos="794"/>
        <w:tab w:val="right" w:leader="dot" w:pos="9060"/>
      </w:tabs>
      <w:ind w:left="794" w:hanging="794"/>
      <w:jc w:val="left"/>
    </w:pPr>
    <w:rPr>
      <w:noProof/>
    </w:rPr>
  </w:style>
  <w:style w:type="character" w:customStyle="1" w:styleId="Cmsor5Char">
    <w:name w:val="Címsor 5 Char"/>
    <w:basedOn w:val="Bekezdsalapbettpusa"/>
    <w:link w:val="Cmsor5"/>
    <w:rsid w:val="00D97F32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D97F32"/>
    <w:rPr>
      <w:rFonts w:ascii="Arial" w:eastAsia="Times New Roman" w:hAnsi="Arial" w:cs="Arial"/>
      <w:b/>
      <w:bCs/>
    </w:rPr>
  </w:style>
  <w:style w:type="paragraph" w:styleId="TJ1">
    <w:name w:val="toc 1"/>
    <w:basedOn w:val="Norml"/>
    <w:next w:val="Norml"/>
    <w:autoRedefine/>
    <w:uiPriority w:val="39"/>
    <w:qFormat/>
    <w:rsid w:val="00D97F32"/>
    <w:pPr>
      <w:tabs>
        <w:tab w:val="left" w:pos="567"/>
        <w:tab w:val="right" w:leader="dot" w:pos="9062"/>
      </w:tabs>
      <w:jc w:val="left"/>
    </w:pPr>
    <w:rPr>
      <w:rFonts w:ascii="Calibri Light" w:eastAsia="Times New Roman" w:hAnsi="Calibri Light" w:cs="Arial"/>
      <w:noProof/>
      <w:sz w:val="18"/>
      <w:szCs w:val="18"/>
    </w:rPr>
  </w:style>
  <w:style w:type="character" w:customStyle="1" w:styleId="TJ2Char">
    <w:name w:val="TJ 2 Char"/>
    <w:basedOn w:val="Bekezdsalapbettpusa"/>
    <w:link w:val="TJ2"/>
    <w:uiPriority w:val="39"/>
    <w:rsid w:val="00D97F32"/>
    <w:rPr>
      <w:rFonts w:ascii="Arial" w:hAnsi="Arial"/>
      <w:noProof/>
    </w:rPr>
  </w:style>
  <w:style w:type="paragraph" w:styleId="TJ3">
    <w:name w:val="toc 3"/>
    <w:basedOn w:val="Norml"/>
    <w:next w:val="Norml"/>
    <w:autoRedefine/>
    <w:uiPriority w:val="39"/>
    <w:unhideWhenUsed/>
    <w:qFormat/>
    <w:rsid w:val="00D97F32"/>
    <w:pPr>
      <w:tabs>
        <w:tab w:val="left" w:pos="1021"/>
        <w:tab w:val="right" w:leader="dot" w:pos="9060"/>
      </w:tabs>
      <w:ind w:left="1021" w:hanging="1021"/>
      <w:jc w:val="left"/>
    </w:pPr>
    <w:rPr>
      <w:noProof/>
    </w:rPr>
  </w:style>
  <w:style w:type="paragraph" w:styleId="Cm">
    <w:name w:val="Title"/>
    <w:basedOn w:val="Norml"/>
    <w:next w:val="Norml"/>
    <w:link w:val="CmChar"/>
    <w:qFormat/>
    <w:rsid w:val="00D97F32"/>
    <w:pPr>
      <w:pBdr>
        <w:top w:val="single" w:sz="4" w:space="1" w:color="A6A6A6"/>
        <w:bottom w:val="single" w:sz="4" w:space="1" w:color="A6A6A6"/>
      </w:pBd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Cs/>
      <w:caps/>
      <w:color w:val="404040"/>
      <w:kern w:val="28"/>
      <w:sz w:val="48"/>
      <w:szCs w:val="32"/>
      <w:lang w:val="en-GB" w:eastAsia="hu-HU"/>
    </w:rPr>
  </w:style>
  <w:style w:type="character" w:customStyle="1" w:styleId="CmChar">
    <w:name w:val="Cím Char"/>
    <w:basedOn w:val="Bekezdsalapbettpusa"/>
    <w:link w:val="Cm"/>
    <w:rsid w:val="00D97F32"/>
    <w:rPr>
      <w:rFonts w:ascii="Calibri Light" w:eastAsia="Times New Roman" w:hAnsi="Calibri Light" w:cs="Times New Roman"/>
      <w:bCs/>
      <w:caps/>
      <w:color w:val="404040"/>
      <w:kern w:val="28"/>
      <w:sz w:val="48"/>
      <w:szCs w:val="32"/>
      <w:lang w:val="en-GB"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97F32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97F32"/>
    <w:rPr>
      <w:rFonts w:ascii="Arial" w:hAnsi="Arial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97F32"/>
    <w:pPr>
      <w:jc w:val="left"/>
      <w:outlineLvl w:val="9"/>
    </w:pPr>
    <w:rPr>
      <w:lang w:eastAsia="hu-HU"/>
    </w:rPr>
  </w:style>
  <w:style w:type="paragraph" w:customStyle="1" w:styleId="Default">
    <w:name w:val="Default"/>
    <w:rsid w:val="00054C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053C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3CC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3CC3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3C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3CC3"/>
    <w:rPr>
      <w:rFonts w:ascii="Arial" w:hAnsi="Arial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C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1875</Words>
  <Characters>12940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2020-10-14T10:46:00Z</dcterms:created>
  <dcterms:modified xsi:type="dcterms:W3CDTF">2020-10-14T10:46:00Z</dcterms:modified>
</cp:coreProperties>
</file>